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397B" w:rsidRDefault="00AF397B" w:rsidP="00AF397B">
      <w:pPr>
        <w:pStyle w:val="2"/>
        <w:spacing w:before="0" w:beforeAutospacing="0" w:after="0" w:afterAutospacing="0" w:line="40" w:lineRule="atLeast"/>
        <w:jc w:val="center"/>
        <w:rPr>
          <w:rFonts w:eastAsia="Times New Roman"/>
          <w:b/>
          <w:bCs/>
          <w:color w:val="000000"/>
          <w:sz w:val="24"/>
          <w:szCs w:val="24"/>
        </w:rPr>
      </w:pPr>
      <w:bookmarkStart w:id="0" w:name="_GoBack"/>
      <w:bookmarkEnd w:id="0"/>
      <w:r>
        <w:rPr>
          <w:rFonts w:eastAsia="Times New Roman"/>
          <w:b/>
          <w:bCs/>
          <w:color w:val="000000"/>
          <w:sz w:val="24"/>
          <w:szCs w:val="24"/>
        </w:rPr>
        <w:t>И</w:t>
      </w:r>
      <w:r w:rsidR="00FF094F" w:rsidRPr="00375EB8">
        <w:rPr>
          <w:rFonts w:eastAsia="Times New Roman"/>
          <w:b/>
          <w:bCs/>
          <w:color w:val="000000"/>
          <w:sz w:val="24"/>
          <w:szCs w:val="24"/>
        </w:rPr>
        <w:t>нформация о перечне основных способов ведения учета</w:t>
      </w:r>
    </w:p>
    <w:p w:rsidR="00AF397B" w:rsidRDefault="00FF094F" w:rsidP="00AF397B">
      <w:pPr>
        <w:pStyle w:val="2"/>
        <w:spacing w:before="0" w:beforeAutospacing="0" w:after="0" w:afterAutospacing="0" w:line="40" w:lineRule="atLeast"/>
        <w:jc w:val="center"/>
        <w:rPr>
          <w:rFonts w:eastAsia="Times New Roman"/>
          <w:b/>
          <w:bCs/>
          <w:color w:val="000000"/>
          <w:sz w:val="24"/>
          <w:szCs w:val="24"/>
        </w:rPr>
      </w:pPr>
      <w:r w:rsidRPr="00375EB8">
        <w:rPr>
          <w:rFonts w:eastAsia="Times New Roman"/>
          <w:b/>
          <w:bCs/>
          <w:color w:val="000000"/>
          <w:sz w:val="24"/>
          <w:szCs w:val="24"/>
        </w:rPr>
        <w:t xml:space="preserve"> и особенностях Учетной политики</w:t>
      </w:r>
      <w:r w:rsidR="000C5453" w:rsidRPr="00375EB8">
        <w:rPr>
          <w:rFonts w:eastAsia="Times New Roman"/>
          <w:b/>
          <w:bCs/>
          <w:color w:val="000000"/>
          <w:sz w:val="24"/>
          <w:szCs w:val="24"/>
        </w:rPr>
        <w:t xml:space="preserve"> МКУ «МРУО»</w:t>
      </w:r>
      <w:r w:rsidR="00721E74" w:rsidRPr="00375EB8">
        <w:rPr>
          <w:rFonts w:eastAsia="Times New Roman"/>
          <w:b/>
          <w:bCs/>
          <w:color w:val="000000"/>
          <w:sz w:val="24"/>
          <w:szCs w:val="24"/>
        </w:rPr>
        <w:t xml:space="preserve"> для целей </w:t>
      </w:r>
    </w:p>
    <w:p w:rsidR="00294BA9" w:rsidRPr="00375EB8" w:rsidRDefault="00CD5DAB" w:rsidP="00AF397B">
      <w:pPr>
        <w:pStyle w:val="2"/>
        <w:spacing w:before="0" w:beforeAutospacing="0" w:after="0" w:afterAutospacing="0" w:line="40" w:lineRule="atLeast"/>
        <w:jc w:val="center"/>
        <w:rPr>
          <w:rFonts w:eastAsia="Times New Roman"/>
          <w:color w:val="000000"/>
          <w:sz w:val="24"/>
          <w:szCs w:val="24"/>
        </w:rPr>
      </w:pPr>
      <w:r w:rsidRPr="00375EB8">
        <w:rPr>
          <w:rFonts w:eastAsia="Times New Roman"/>
          <w:b/>
          <w:bCs/>
          <w:color w:val="000000"/>
          <w:sz w:val="24"/>
          <w:szCs w:val="24"/>
        </w:rPr>
        <w:t>Б</w:t>
      </w:r>
      <w:r w:rsidR="00721E74" w:rsidRPr="00375EB8">
        <w:rPr>
          <w:rFonts w:eastAsia="Times New Roman"/>
          <w:b/>
          <w:bCs/>
          <w:color w:val="000000"/>
          <w:sz w:val="24"/>
          <w:szCs w:val="24"/>
        </w:rPr>
        <w:t>ухгалтерского</w:t>
      </w:r>
      <w:r w:rsidRPr="00375EB8">
        <w:rPr>
          <w:rFonts w:eastAsia="Times New Roman"/>
          <w:b/>
          <w:bCs/>
          <w:color w:val="000000"/>
          <w:sz w:val="24"/>
          <w:szCs w:val="24"/>
        </w:rPr>
        <w:t xml:space="preserve"> и налогового</w:t>
      </w:r>
      <w:r w:rsidR="00721E74" w:rsidRPr="00375EB8">
        <w:rPr>
          <w:rFonts w:eastAsia="Times New Roman"/>
          <w:b/>
          <w:bCs/>
          <w:color w:val="000000"/>
          <w:sz w:val="24"/>
          <w:szCs w:val="24"/>
        </w:rPr>
        <w:t xml:space="preserve"> учета</w:t>
      </w:r>
      <w:r w:rsidR="000C5453" w:rsidRPr="00375EB8">
        <w:rPr>
          <w:rFonts w:eastAsia="Times New Roman"/>
          <w:b/>
          <w:bCs/>
          <w:color w:val="000000"/>
          <w:sz w:val="24"/>
          <w:szCs w:val="24"/>
        </w:rPr>
        <w:t xml:space="preserve"> </w:t>
      </w:r>
      <w:r w:rsidR="00B0342B" w:rsidRPr="00375EB8">
        <w:rPr>
          <w:rFonts w:eastAsia="Times New Roman"/>
          <w:b/>
          <w:bCs/>
          <w:color w:val="000000"/>
          <w:sz w:val="24"/>
          <w:szCs w:val="24"/>
        </w:rPr>
        <w:t>на 2019</w:t>
      </w:r>
      <w:r w:rsidR="00294BA9" w:rsidRPr="00375EB8">
        <w:rPr>
          <w:rFonts w:eastAsia="Times New Roman"/>
          <w:b/>
          <w:bCs/>
          <w:color w:val="000000"/>
          <w:sz w:val="24"/>
          <w:szCs w:val="24"/>
        </w:rPr>
        <w:t xml:space="preserve"> год</w:t>
      </w:r>
    </w:p>
    <w:p w:rsidR="00375EB8" w:rsidRPr="00BC7AD6" w:rsidRDefault="00721E74" w:rsidP="00375EB8">
      <w:pPr>
        <w:pStyle w:val="1212"/>
        <w:numPr>
          <w:ilvl w:val="0"/>
          <w:numId w:val="0"/>
        </w:numPr>
        <w:spacing w:before="0" w:after="0"/>
        <w:rPr>
          <w:sz w:val="24"/>
          <w:szCs w:val="24"/>
        </w:rPr>
      </w:pPr>
      <w:r w:rsidRPr="00BC7AD6">
        <w:rPr>
          <w:b/>
          <w:bCs/>
          <w:sz w:val="24"/>
          <w:szCs w:val="24"/>
        </w:rPr>
        <w:t>1. Общие положения</w:t>
      </w:r>
      <w:r w:rsidR="00BD4E00" w:rsidRPr="00BC7AD6">
        <w:rPr>
          <w:sz w:val="24"/>
          <w:szCs w:val="24"/>
        </w:rPr>
        <w:t xml:space="preserve"> </w:t>
      </w:r>
    </w:p>
    <w:p w:rsidR="00BD4E00" w:rsidRPr="00BC7AD6" w:rsidRDefault="00FF094F" w:rsidP="00375EB8">
      <w:pPr>
        <w:pStyle w:val="1212"/>
        <w:numPr>
          <w:ilvl w:val="0"/>
          <w:numId w:val="0"/>
        </w:numPr>
        <w:spacing w:before="0" w:after="0"/>
        <w:rPr>
          <w:sz w:val="24"/>
          <w:szCs w:val="24"/>
        </w:rPr>
      </w:pPr>
      <w:r w:rsidRPr="00BC7AD6">
        <w:rPr>
          <w:sz w:val="24"/>
          <w:szCs w:val="24"/>
          <w:lang w:val="ru-RU"/>
        </w:rPr>
        <w:t xml:space="preserve">- </w:t>
      </w:r>
      <w:r w:rsidR="00BD4E00" w:rsidRPr="00BC7AD6">
        <w:rPr>
          <w:sz w:val="24"/>
          <w:szCs w:val="24"/>
        </w:rPr>
        <w:t>Бухгалтерский учет в учреждении ведется в соответствии с:</w:t>
      </w:r>
    </w:p>
    <w:p w:rsidR="00BD4E00" w:rsidRPr="00BC7AD6" w:rsidRDefault="00BD4E00" w:rsidP="00375EB8">
      <w:pPr>
        <w:pStyle w:val="1212"/>
        <w:numPr>
          <w:ilvl w:val="0"/>
          <w:numId w:val="0"/>
        </w:numPr>
        <w:spacing w:before="0" w:after="0"/>
        <w:rPr>
          <w:sz w:val="24"/>
          <w:szCs w:val="24"/>
        </w:rPr>
      </w:pPr>
      <w:r w:rsidRPr="00BC7AD6">
        <w:rPr>
          <w:sz w:val="24"/>
          <w:szCs w:val="24"/>
        </w:rPr>
        <w:t>- Бюджетным кодексом Российской Федерации;</w:t>
      </w:r>
    </w:p>
    <w:p w:rsidR="00BD4E00" w:rsidRPr="00BC7AD6" w:rsidRDefault="00BD4E00" w:rsidP="00375EB8">
      <w:pPr>
        <w:pStyle w:val="1212"/>
        <w:numPr>
          <w:ilvl w:val="0"/>
          <w:numId w:val="0"/>
        </w:numPr>
        <w:spacing w:before="0" w:after="0"/>
        <w:rPr>
          <w:sz w:val="24"/>
          <w:szCs w:val="24"/>
        </w:rPr>
      </w:pPr>
      <w:r w:rsidRPr="00BC7AD6">
        <w:rPr>
          <w:sz w:val="24"/>
          <w:szCs w:val="24"/>
        </w:rPr>
        <w:t>- Федеральным законом от 06 декабря 2011 г. № 402-ФЗ «О бухгалтерском учете»;</w:t>
      </w:r>
    </w:p>
    <w:p w:rsidR="00FF094F" w:rsidRPr="00BC7AD6" w:rsidRDefault="00FF094F" w:rsidP="00375EB8">
      <w:pPr>
        <w:pStyle w:val="1212"/>
        <w:numPr>
          <w:ilvl w:val="0"/>
          <w:numId w:val="0"/>
        </w:numPr>
        <w:spacing w:before="0" w:after="0"/>
        <w:rPr>
          <w:sz w:val="24"/>
          <w:szCs w:val="24"/>
          <w:lang w:val="ru-RU"/>
        </w:rPr>
      </w:pPr>
      <w:r w:rsidRPr="00BC7AD6">
        <w:rPr>
          <w:sz w:val="24"/>
          <w:szCs w:val="24"/>
          <w:lang w:val="ru-RU"/>
        </w:rPr>
        <w:t xml:space="preserve">- инструкциями и </w:t>
      </w:r>
      <w:proofErr w:type="gramStart"/>
      <w:r w:rsidRPr="00BC7AD6">
        <w:rPr>
          <w:sz w:val="24"/>
          <w:szCs w:val="24"/>
          <w:lang w:val="ru-RU"/>
        </w:rPr>
        <w:t>приказами</w:t>
      </w:r>
      <w:proofErr w:type="gramEnd"/>
      <w:r w:rsidRPr="00BC7AD6">
        <w:rPr>
          <w:sz w:val="24"/>
          <w:szCs w:val="24"/>
          <w:lang w:val="ru-RU"/>
        </w:rPr>
        <w:t xml:space="preserve"> и иными нормативными документами</w:t>
      </w:r>
    </w:p>
    <w:p w:rsidR="00FF094F" w:rsidRPr="00BC7AD6" w:rsidRDefault="00FF094F" w:rsidP="00375EB8">
      <w:pPr>
        <w:pStyle w:val="1212"/>
        <w:numPr>
          <w:ilvl w:val="0"/>
          <w:numId w:val="0"/>
        </w:numPr>
        <w:spacing w:before="0" w:after="0"/>
        <w:rPr>
          <w:sz w:val="24"/>
          <w:szCs w:val="24"/>
        </w:rPr>
      </w:pPr>
      <w:r w:rsidRPr="00BC7AD6">
        <w:rPr>
          <w:sz w:val="24"/>
          <w:szCs w:val="24"/>
        </w:rPr>
        <w:t xml:space="preserve">- </w:t>
      </w:r>
      <w:r w:rsidR="00721E74" w:rsidRPr="00BC7AD6">
        <w:rPr>
          <w:sz w:val="24"/>
          <w:szCs w:val="24"/>
        </w:rPr>
        <w:t>Бухгалтерский учет ведется бухгалтерской службой учреждения.</w:t>
      </w:r>
    </w:p>
    <w:p w:rsidR="00FF094F" w:rsidRPr="00BC7AD6" w:rsidRDefault="00FF094F" w:rsidP="00375EB8">
      <w:pPr>
        <w:pStyle w:val="1212"/>
        <w:numPr>
          <w:ilvl w:val="0"/>
          <w:numId w:val="0"/>
        </w:numPr>
        <w:spacing w:before="0" w:after="0"/>
        <w:rPr>
          <w:sz w:val="24"/>
          <w:szCs w:val="24"/>
        </w:rPr>
      </w:pPr>
      <w:r w:rsidRPr="00BC7AD6">
        <w:rPr>
          <w:sz w:val="24"/>
          <w:szCs w:val="24"/>
          <w:lang w:val="ru-RU"/>
        </w:rPr>
        <w:t xml:space="preserve">- </w:t>
      </w:r>
      <w:r w:rsidR="00520BC7" w:rsidRPr="00BC7AD6">
        <w:rPr>
          <w:sz w:val="24"/>
          <w:szCs w:val="24"/>
        </w:rPr>
        <w:t xml:space="preserve">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w:t>
      </w:r>
    </w:p>
    <w:p w:rsidR="00FF094F" w:rsidRPr="00BC7AD6" w:rsidRDefault="00FF094F" w:rsidP="00375EB8">
      <w:pPr>
        <w:pStyle w:val="1212"/>
        <w:numPr>
          <w:ilvl w:val="0"/>
          <w:numId w:val="0"/>
        </w:numPr>
        <w:spacing w:before="0" w:after="0"/>
        <w:rPr>
          <w:sz w:val="24"/>
          <w:szCs w:val="24"/>
        </w:rPr>
      </w:pPr>
      <w:r w:rsidRPr="00BC7AD6">
        <w:rPr>
          <w:sz w:val="24"/>
          <w:szCs w:val="24"/>
        </w:rPr>
        <w:t xml:space="preserve"> - </w:t>
      </w:r>
      <w:r w:rsidR="00520BC7" w:rsidRPr="00BC7AD6">
        <w:rPr>
          <w:sz w:val="24"/>
          <w:szCs w:val="24"/>
        </w:rPr>
        <w:t xml:space="preserve">При разногласиях между руководителем и главным бухгалтером при ведении бюджетного учета в принятии первичных учетных документов и отражении (или не отражении) объекта бухгалтерского учета осуществлять по письменному распоряжению руководителя учреждения. </w:t>
      </w:r>
    </w:p>
    <w:p w:rsidR="00FF094F" w:rsidRPr="00BC7AD6" w:rsidRDefault="00FF094F" w:rsidP="00375EB8">
      <w:pPr>
        <w:pStyle w:val="1212"/>
        <w:numPr>
          <w:ilvl w:val="0"/>
          <w:numId w:val="0"/>
        </w:numPr>
        <w:spacing w:before="0" w:after="0"/>
        <w:rPr>
          <w:sz w:val="24"/>
          <w:szCs w:val="24"/>
        </w:rPr>
      </w:pPr>
      <w:r w:rsidRPr="00BC7AD6">
        <w:rPr>
          <w:sz w:val="24"/>
          <w:szCs w:val="24"/>
          <w:lang w:val="ru-RU"/>
        </w:rPr>
        <w:t xml:space="preserve">- </w:t>
      </w:r>
      <w:r w:rsidR="004B1C71" w:rsidRPr="00BC7AD6">
        <w:rPr>
          <w:sz w:val="24"/>
          <w:szCs w:val="24"/>
        </w:rPr>
        <w:t>Учрежде</w:t>
      </w:r>
      <w:r w:rsidR="0046406A" w:rsidRPr="00BC7AD6">
        <w:rPr>
          <w:sz w:val="24"/>
          <w:szCs w:val="24"/>
        </w:rPr>
        <w:t>ние публикует общую информацию о перечне основных способов ведения учета и особенностей</w:t>
      </w:r>
      <w:r w:rsidR="004B1C71" w:rsidRPr="00BC7AD6">
        <w:rPr>
          <w:sz w:val="24"/>
          <w:szCs w:val="24"/>
        </w:rPr>
        <w:t xml:space="preserve"> учетной политики на своем офиц</w:t>
      </w:r>
      <w:r w:rsidR="0046406A" w:rsidRPr="00BC7AD6">
        <w:rPr>
          <w:sz w:val="24"/>
          <w:szCs w:val="24"/>
        </w:rPr>
        <w:t>иальном сайте.</w:t>
      </w:r>
    </w:p>
    <w:p w:rsidR="00FF094F" w:rsidRPr="00BC7AD6" w:rsidRDefault="00FF094F" w:rsidP="00375EB8">
      <w:pPr>
        <w:pStyle w:val="1212"/>
        <w:numPr>
          <w:ilvl w:val="0"/>
          <w:numId w:val="0"/>
        </w:numPr>
        <w:spacing w:before="0" w:after="0"/>
        <w:rPr>
          <w:sz w:val="24"/>
          <w:szCs w:val="24"/>
        </w:rPr>
      </w:pPr>
      <w:r w:rsidRPr="00BC7AD6">
        <w:rPr>
          <w:sz w:val="24"/>
          <w:szCs w:val="24"/>
          <w:lang w:val="ru-RU"/>
        </w:rPr>
        <w:t xml:space="preserve">- </w:t>
      </w:r>
      <w:r w:rsidR="004B1C71" w:rsidRPr="00BC7AD6">
        <w:rPr>
          <w:sz w:val="24"/>
          <w:szCs w:val="24"/>
        </w:rPr>
        <w:t xml:space="preserve">При внесении изменений </w:t>
      </w:r>
      <w:r w:rsidR="00EC053C" w:rsidRPr="00BC7AD6">
        <w:rPr>
          <w:sz w:val="24"/>
          <w:szCs w:val="24"/>
        </w:rPr>
        <w:t>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FF094F" w:rsidRPr="00BC7AD6" w:rsidRDefault="00FF094F" w:rsidP="00375EB8">
      <w:pPr>
        <w:pStyle w:val="1212"/>
        <w:numPr>
          <w:ilvl w:val="0"/>
          <w:numId w:val="0"/>
        </w:numPr>
        <w:spacing w:before="0" w:after="0"/>
        <w:rPr>
          <w:sz w:val="24"/>
          <w:szCs w:val="24"/>
        </w:rPr>
      </w:pPr>
      <w:r w:rsidRPr="00BC7AD6">
        <w:rPr>
          <w:sz w:val="24"/>
          <w:szCs w:val="24"/>
          <w:lang w:val="ru-RU"/>
        </w:rPr>
        <w:t xml:space="preserve">- </w:t>
      </w:r>
      <w:r w:rsidR="00721E74" w:rsidRPr="00BC7AD6">
        <w:rPr>
          <w:sz w:val="24"/>
          <w:szCs w:val="24"/>
        </w:rPr>
        <w:t xml:space="preserve"> Обработка учетной информации осуществляется автоматизированным способом с применением </w:t>
      </w:r>
      <w:r w:rsidR="003A459A" w:rsidRPr="00BC7AD6">
        <w:rPr>
          <w:sz w:val="24"/>
          <w:szCs w:val="24"/>
        </w:rPr>
        <w:t xml:space="preserve">программных продуктов </w:t>
      </w:r>
      <w:r w:rsidR="00721E74" w:rsidRPr="00BC7AD6">
        <w:rPr>
          <w:sz w:val="24"/>
          <w:szCs w:val="24"/>
        </w:rPr>
        <w:t>1С.</w:t>
      </w:r>
    </w:p>
    <w:p w:rsidR="00EC053C" w:rsidRPr="00BC7AD6" w:rsidRDefault="00FF094F" w:rsidP="00375EB8">
      <w:pPr>
        <w:pStyle w:val="1212"/>
        <w:numPr>
          <w:ilvl w:val="0"/>
          <w:numId w:val="0"/>
        </w:numPr>
        <w:spacing w:before="0" w:after="0"/>
        <w:rPr>
          <w:sz w:val="24"/>
          <w:szCs w:val="24"/>
        </w:rPr>
      </w:pPr>
      <w:r w:rsidRPr="00BC7AD6">
        <w:rPr>
          <w:sz w:val="24"/>
          <w:szCs w:val="24"/>
          <w:lang w:val="ru-RU"/>
        </w:rPr>
        <w:t xml:space="preserve">- </w:t>
      </w:r>
      <w:r w:rsidR="00EC053C" w:rsidRPr="00BC7AD6">
        <w:rPr>
          <w:sz w:val="24"/>
          <w:szCs w:val="24"/>
        </w:rPr>
        <w:t xml:space="preserve"> </w:t>
      </w:r>
      <w:r w:rsidR="008B1628" w:rsidRPr="00BC7AD6">
        <w:rPr>
          <w:sz w:val="24"/>
          <w:szCs w:val="24"/>
        </w:rPr>
        <w:t xml:space="preserve">С использованием </w:t>
      </w:r>
      <w:r w:rsidR="006560AA" w:rsidRPr="00BC7AD6">
        <w:rPr>
          <w:sz w:val="24"/>
          <w:szCs w:val="24"/>
        </w:rPr>
        <w:t>телекоммуникационных</w:t>
      </w:r>
      <w:r w:rsidR="008B1628" w:rsidRPr="00BC7AD6">
        <w:rPr>
          <w:sz w:val="24"/>
          <w:szCs w:val="24"/>
        </w:rPr>
        <w:t xml:space="preserve"> каналов связи и электронной подписи бухгалтерия учреждения осуществляет электронный документооборот по следующим направлениям:</w:t>
      </w:r>
    </w:p>
    <w:p w:rsidR="008B1628" w:rsidRPr="00BC7AD6" w:rsidRDefault="008B1628" w:rsidP="00375EB8">
      <w:pPr>
        <w:pStyle w:val="a6"/>
        <w:spacing w:before="0" w:beforeAutospacing="0" w:after="0" w:afterAutospacing="0"/>
        <w:jc w:val="both"/>
        <w:rPr>
          <w:color w:val="000000"/>
        </w:rPr>
      </w:pPr>
      <w:r w:rsidRPr="00BC7AD6">
        <w:rPr>
          <w:color w:val="000000"/>
        </w:rPr>
        <w:t xml:space="preserve">- система </w:t>
      </w:r>
      <w:r w:rsidR="007B3155" w:rsidRPr="00BC7AD6">
        <w:rPr>
          <w:color w:val="000000"/>
        </w:rPr>
        <w:t>электронного документооборота с финансовым управлением учредителя;</w:t>
      </w:r>
    </w:p>
    <w:p w:rsidR="007B3155" w:rsidRPr="00BC7AD6" w:rsidRDefault="007B3155" w:rsidP="00375EB8">
      <w:pPr>
        <w:pStyle w:val="a6"/>
        <w:spacing w:before="0" w:beforeAutospacing="0" w:after="0" w:afterAutospacing="0"/>
        <w:jc w:val="both"/>
        <w:rPr>
          <w:color w:val="000000"/>
        </w:rPr>
      </w:pPr>
      <w:r w:rsidRPr="00BC7AD6">
        <w:rPr>
          <w:color w:val="000000"/>
        </w:rPr>
        <w:t>- передача бухгалтерской отчетности учредителю;</w:t>
      </w:r>
    </w:p>
    <w:p w:rsidR="007B3155" w:rsidRPr="00BC7AD6" w:rsidRDefault="007B3155" w:rsidP="00375EB8">
      <w:pPr>
        <w:pStyle w:val="a6"/>
        <w:spacing w:before="0" w:beforeAutospacing="0" w:after="0" w:afterAutospacing="0"/>
        <w:jc w:val="both"/>
        <w:rPr>
          <w:color w:val="000000"/>
        </w:rPr>
      </w:pPr>
      <w:r w:rsidRPr="00BC7AD6">
        <w:rPr>
          <w:color w:val="000000"/>
        </w:rPr>
        <w:t>- передача отчетности по налогам, сборам и иным обязательным платежам в инспекцию Федеральной налоговой службы;</w:t>
      </w:r>
    </w:p>
    <w:p w:rsidR="007B3155" w:rsidRPr="00BC7AD6" w:rsidRDefault="007B3155" w:rsidP="00375EB8">
      <w:pPr>
        <w:pStyle w:val="a6"/>
        <w:spacing w:before="0" w:beforeAutospacing="0" w:after="0" w:afterAutospacing="0"/>
        <w:jc w:val="both"/>
        <w:rPr>
          <w:color w:val="000000"/>
        </w:rPr>
      </w:pPr>
      <w:r w:rsidRPr="00BC7AD6">
        <w:rPr>
          <w:color w:val="000000"/>
        </w:rPr>
        <w:t>- передача отчетности в отделение Пенсионного фонда России;</w:t>
      </w:r>
    </w:p>
    <w:p w:rsidR="007B3155" w:rsidRPr="00BC7AD6" w:rsidRDefault="007B3155" w:rsidP="00375EB8">
      <w:pPr>
        <w:pStyle w:val="a6"/>
        <w:spacing w:before="0" w:beforeAutospacing="0" w:after="0" w:afterAutospacing="0"/>
        <w:jc w:val="both"/>
        <w:rPr>
          <w:color w:val="000000"/>
        </w:rPr>
      </w:pPr>
      <w:r w:rsidRPr="00BC7AD6">
        <w:rPr>
          <w:color w:val="000000"/>
        </w:rPr>
        <w:t>- передача отчетности и документации в Фонд социального страхования;</w:t>
      </w:r>
    </w:p>
    <w:p w:rsidR="00FF094F" w:rsidRPr="00BC7AD6" w:rsidRDefault="007B3155" w:rsidP="00375EB8">
      <w:pPr>
        <w:pStyle w:val="a6"/>
        <w:spacing w:before="0" w:beforeAutospacing="0" w:after="0" w:afterAutospacing="0"/>
        <w:jc w:val="both"/>
        <w:rPr>
          <w:color w:val="000000"/>
        </w:rPr>
      </w:pPr>
      <w:r w:rsidRPr="00BC7AD6">
        <w:rPr>
          <w:color w:val="000000"/>
        </w:rPr>
        <w:t xml:space="preserve">- размещение информации о деятельности учреждения на официальном сайте </w:t>
      </w:r>
      <w:r w:rsidRPr="00BC7AD6">
        <w:rPr>
          <w:color w:val="000000"/>
          <w:lang w:val="en-US"/>
        </w:rPr>
        <w:t>bus</w:t>
      </w:r>
      <w:r w:rsidRPr="00BC7AD6">
        <w:rPr>
          <w:color w:val="000000"/>
        </w:rPr>
        <w:t>.</w:t>
      </w:r>
      <w:proofErr w:type="spellStart"/>
      <w:r w:rsidRPr="00BC7AD6">
        <w:rPr>
          <w:color w:val="000000"/>
          <w:lang w:val="en-US"/>
        </w:rPr>
        <w:t>gov</w:t>
      </w:r>
      <w:proofErr w:type="spellEnd"/>
      <w:r w:rsidRPr="00BC7AD6">
        <w:rPr>
          <w:color w:val="000000"/>
        </w:rPr>
        <w:t>.</w:t>
      </w:r>
      <w:proofErr w:type="spellStart"/>
      <w:r w:rsidRPr="00BC7AD6">
        <w:rPr>
          <w:color w:val="000000"/>
          <w:lang w:val="en-US"/>
        </w:rPr>
        <w:t>ru</w:t>
      </w:r>
      <w:proofErr w:type="spellEnd"/>
      <w:r w:rsidRPr="00BC7AD6">
        <w:rPr>
          <w:color w:val="000000"/>
        </w:rPr>
        <w:t>.</w:t>
      </w:r>
    </w:p>
    <w:p w:rsidR="00FF094F" w:rsidRPr="00BC7AD6" w:rsidRDefault="00FF094F" w:rsidP="00375EB8">
      <w:pPr>
        <w:pStyle w:val="a6"/>
        <w:spacing w:before="0" w:beforeAutospacing="0" w:after="0" w:afterAutospacing="0"/>
        <w:jc w:val="both"/>
      </w:pPr>
      <w:r w:rsidRPr="00BC7AD6">
        <w:t xml:space="preserve">- </w:t>
      </w:r>
      <w:r w:rsidR="00721E74" w:rsidRPr="00BC7AD6">
        <w:t xml:space="preserve"> Правила документооборота и технология обработки учетной информации для отражения ее в бухгалтерском учете, в том числе порядок и сроки передачи первичных (сводных) учетных документов (график документооборота), порядок и сроки формирования регистров бухгалтерского учета установлены в приложении № 2.</w:t>
      </w:r>
      <w:r w:rsidR="00925247" w:rsidRPr="00BC7AD6">
        <w:t xml:space="preserve"> Учреждение использует унифицированные формы первичных документов, перечисленные </w:t>
      </w:r>
      <w:r w:rsidR="00D23E17" w:rsidRPr="00BC7AD6">
        <w:t>в приложении 1 к приказу № 52н. При необходимости формы регистров, которые не унифицированы, разрабатываются самостоятельно.</w:t>
      </w:r>
    </w:p>
    <w:p w:rsidR="00FF094F" w:rsidRPr="00BC7AD6" w:rsidRDefault="00FF094F" w:rsidP="00375EB8">
      <w:pPr>
        <w:pStyle w:val="a6"/>
        <w:spacing w:before="0" w:beforeAutospacing="0" w:after="0" w:afterAutospacing="0"/>
        <w:jc w:val="both"/>
      </w:pPr>
      <w:r w:rsidRPr="00BC7AD6">
        <w:t xml:space="preserve">- </w:t>
      </w:r>
      <w:r w:rsidR="00721E74" w:rsidRPr="00BC7AD6">
        <w:t xml:space="preserve"> Сроки хранения документов в учреждении устанавливаются в соответствии с </w:t>
      </w:r>
      <w:hyperlink r:id="rId6" w:tgtFrame="_blank" w:history="1">
        <w:r w:rsidR="00721E74" w:rsidRPr="00BC7AD6">
          <w:rPr>
            <w:rStyle w:val="a4"/>
            <w:color w:val="auto"/>
            <w:u w:val="none"/>
          </w:rPr>
          <w:t>Приказом Минкультуры РФ от 25.08.2010 № 558</w:t>
        </w:r>
      </w:hyperlink>
      <w:r w:rsidR="00721E74" w:rsidRPr="00BC7AD6">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261E9C" w:rsidRPr="00BC7AD6" w:rsidRDefault="00FF094F" w:rsidP="00375EB8">
      <w:pPr>
        <w:pStyle w:val="a6"/>
        <w:spacing w:before="0" w:beforeAutospacing="0" w:after="0" w:afterAutospacing="0"/>
        <w:jc w:val="both"/>
      </w:pPr>
      <w:r w:rsidRPr="00BC7AD6">
        <w:t xml:space="preserve">- </w:t>
      </w:r>
      <w:r w:rsidR="00721E74" w:rsidRPr="00BC7AD6">
        <w:t xml:space="preserve"> Перечень лиц, имеющих право подписи первичных учетных документов, регистров бухгалтерского учета, счетов-фактур, иных финансовых документов утверждается приказом руководителя учреждения.</w:t>
      </w:r>
    </w:p>
    <w:p w:rsidR="00FF094F" w:rsidRPr="00BC7AD6" w:rsidRDefault="00FF094F" w:rsidP="00375EB8">
      <w:pPr>
        <w:pStyle w:val="a6"/>
        <w:spacing w:before="0" w:beforeAutospacing="0" w:after="0" w:afterAutospacing="0"/>
        <w:jc w:val="both"/>
      </w:pPr>
      <w:r w:rsidRPr="00BC7AD6">
        <w:t>-</w:t>
      </w:r>
      <w:r w:rsidR="00721E74" w:rsidRPr="00BC7AD6">
        <w:t xml:space="preserve"> В учреждении организованы закупка товаров, выпо</w:t>
      </w:r>
      <w:r w:rsidR="00DE2BC5" w:rsidRPr="00BC7AD6">
        <w:t xml:space="preserve">лнение работ, оказание услуг для </w:t>
      </w:r>
      <w:r w:rsidR="00721E74" w:rsidRPr="00BC7AD6">
        <w:t xml:space="preserve">государственных (муниципальных) нужд в соответствии с </w:t>
      </w:r>
      <w:hyperlink r:id="rId7" w:tgtFrame="_blank" w:history="1">
        <w:r w:rsidR="00721E74" w:rsidRPr="00BC7AD6">
          <w:rPr>
            <w:rStyle w:val="a4"/>
            <w:color w:val="auto"/>
            <w:u w:val="none"/>
          </w:rPr>
          <w:t>Федеральным законом от 05.04.2013 № 44-ФЗ</w:t>
        </w:r>
      </w:hyperlink>
      <w:r w:rsidR="00721E74" w:rsidRPr="00BC7AD6">
        <w:t xml:space="preserve"> «О контрактной системе в сфере закупок товаров, работ, услуг для обеспечения государственных и муниципальных нужд» и планом закупок. </w:t>
      </w:r>
    </w:p>
    <w:p w:rsidR="00FF094F" w:rsidRPr="00BC7AD6" w:rsidRDefault="00FF094F" w:rsidP="00375EB8">
      <w:pPr>
        <w:pStyle w:val="a6"/>
        <w:spacing w:before="0" w:beforeAutospacing="0" w:after="0" w:afterAutospacing="0"/>
        <w:jc w:val="both"/>
        <w:rPr>
          <w:b/>
          <w:color w:val="000000"/>
        </w:rPr>
      </w:pPr>
      <w:r w:rsidRPr="00BC7AD6">
        <w:lastRenderedPageBreak/>
        <w:t>-</w:t>
      </w:r>
      <w:r w:rsidR="005D0071" w:rsidRPr="00BC7AD6">
        <w:t xml:space="preserve"> Сроки выплаты заработной платы устанавливаются коллективным договором учреждения. С целью неразглашения персональных данных, выдача расчетных листков производится при личном обращении к работнику централизованной бухгалтерии</w:t>
      </w:r>
      <w:r w:rsidR="007C2C48" w:rsidRPr="00BC7AD6">
        <w:t>.  Для работников учреждений, расположенных в районе, расчетные листки выдаются лично руководителю организации.</w:t>
      </w:r>
      <w:r w:rsidR="000E0C67" w:rsidRPr="00BC7AD6">
        <w:rPr>
          <w:b/>
          <w:color w:val="000000"/>
        </w:rPr>
        <w:t xml:space="preserve"> </w:t>
      </w:r>
    </w:p>
    <w:p w:rsidR="00FF094F" w:rsidRPr="00BC7AD6" w:rsidRDefault="000E0C67" w:rsidP="00375EB8">
      <w:pPr>
        <w:pStyle w:val="a6"/>
        <w:spacing w:before="0" w:beforeAutospacing="0" w:after="0" w:afterAutospacing="0"/>
        <w:jc w:val="both"/>
        <w:rPr>
          <w:b/>
          <w:color w:val="000000"/>
        </w:rPr>
      </w:pPr>
      <w:r w:rsidRPr="00BC7AD6">
        <w:rPr>
          <w:b/>
          <w:color w:val="000000"/>
        </w:rPr>
        <w:t>Порядок передачи документов бухгалтерского учета при смене главного бухгалтера</w:t>
      </w:r>
    </w:p>
    <w:p w:rsidR="000E0C67" w:rsidRPr="00BC7AD6" w:rsidRDefault="00FF094F" w:rsidP="00375EB8">
      <w:pPr>
        <w:pStyle w:val="a6"/>
        <w:spacing w:before="0" w:beforeAutospacing="0" w:after="0" w:afterAutospacing="0"/>
        <w:jc w:val="both"/>
        <w:rPr>
          <w:color w:val="000000"/>
        </w:rPr>
      </w:pPr>
      <w:r w:rsidRPr="00BC7AD6">
        <w:rPr>
          <w:color w:val="000000"/>
        </w:rPr>
        <w:t xml:space="preserve">- </w:t>
      </w:r>
      <w:r w:rsidR="000E0C67" w:rsidRPr="00BC7AD6">
        <w:rPr>
          <w:color w:val="000000"/>
        </w:rPr>
        <w:t>При смене главного бухгалтера увольняемый главный бухгалтер обязан в рамках передачи дел заместителю, новому должностному лицу, иному уполномоченному должностному лицу учреждения (далее – уполномоченное лицо) или комиссии, утвержденной приказом руководителя, передать документы бухгалтерского учета, а также печати и штампы, хранящиеся в бухгалтерии.</w:t>
      </w:r>
    </w:p>
    <w:p w:rsidR="000E0C67" w:rsidRPr="00BC7AD6" w:rsidRDefault="00FF094F"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w:t>
      </w:r>
      <w:r w:rsidR="000E0C67" w:rsidRPr="00BC7AD6">
        <w:rPr>
          <w:color w:val="000000"/>
        </w:rPr>
        <w:t xml:space="preserve"> Передача бухгалтерских документов и печатей проводится на основании приказа руководителя учреждения.</w:t>
      </w:r>
    </w:p>
    <w:p w:rsidR="000E0C67" w:rsidRPr="00BC7AD6" w:rsidRDefault="00FF094F"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 xml:space="preserve">- </w:t>
      </w:r>
      <w:r w:rsidR="000E0C67" w:rsidRPr="00BC7AD6">
        <w:rPr>
          <w:color w:val="000000"/>
        </w:rPr>
        <w:t xml:space="preserve"> Передача документов бухучета, печатей и штампов уполномоченному лицу осуществляется при участии комиссии, создаваемой в учреждении, с составлением акта приема-передачи.</w:t>
      </w:r>
    </w:p>
    <w:p w:rsidR="00F13D39" w:rsidRPr="00BC7AD6" w:rsidRDefault="00F13D39"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BC7AD6">
        <w:rPr>
          <w:b/>
          <w:color w:val="000000"/>
        </w:rPr>
        <w:t>События после отчетной даты</w:t>
      </w:r>
    </w:p>
    <w:p w:rsidR="00F13D39" w:rsidRPr="00BC7AD6" w:rsidRDefault="00FF094F"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 xml:space="preserve">- </w:t>
      </w:r>
      <w:r w:rsidR="00F13D39" w:rsidRPr="00BC7AD6">
        <w:rPr>
          <w:color w:val="000000"/>
        </w:rPr>
        <w:t xml:space="preserve"> К событиям после отчетной даты относятся:</w:t>
      </w:r>
    </w:p>
    <w:p w:rsidR="00F13D39" w:rsidRPr="00BC7AD6" w:rsidRDefault="00F13D39"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А)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F13D39" w:rsidRPr="00BC7AD6" w:rsidRDefault="00F13D39"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Б)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F13D39" w:rsidRPr="00BC7AD6" w:rsidRDefault="00F13D39"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В) обнаружение ошибки в данных бухгалтерского учета за отчетный период до даты подписания отчетности.</w:t>
      </w:r>
    </w:p>
    <w:p w:rsidR="00F13D39" w:rsidRPr="00BC7AD6" w:rsidRDefault="00F13D39"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1.26. События, которые свидетельствуют об условиях хозяйственной деятельности, возникших после отчетной даты, в том числе:</w:t>
      </w:r>
    </w:p>
    <w:p w:rsidR="00F13D39" w:rsidRPr="00BC7AD6" w:rsidRDefault="00F13D39"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А) изменение после отчетной даты кадастровых оценок нефинансовых активов.</w:t>
      </w:r>
    </w:p>
    <w:p w:rsidR="00F13D39" w:rsidRPr="00BC7AD6" w:rsidRDefault="00EA0D67"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Б) существенное поступление или выбытие активов.</w:t>
      </w:r>
    </w:p>
    <w:p w:rsidR="00EA0D67" w:rsidRPr="00BC7AD6" w:rsidRDefault="00EA0D67"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В) пожар, авария, стихийное бедствие или другая ЧС, в результате которой уничтожены или значительно повреждены активы.</w:t>
      </w:r>
    </w:p>
    <w:p w:rsidR="00EA0D67" w:rsidRPr="00BC7AD6" w:rsidRDefault="00EA0D67"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Г) изменение законодательства, в том числе утверждение нормативных правовых актов.</w:t>
      </w:r>
    </w:p>
    <w:p w:rsidR="00EA0D67" w:rsidRPr="00BC7AD6" w:rsidRDefault="00EA0D67"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Д) начало судебного производства, связанного исключительно с событиями, произошедшими после отчетной даты.</w:t>
      </w:r>
    </w:p>
    <w:p w:rsidR="00EA0D67" w:rsidRPr="00BC7AD6" w:rsidRDefault="00FF094F"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 xml:space="preserve">- </w:t>
      </w:r>
      <w:r w:rsidR="00EA0D67" w:rsidRPr="00BC7AD6">
        <w:rPr>
          <w:color w:val="000000"/>
        </w:rPr>
        <w:t xml:space="preserve"> Событие, которое подтверждает условия хозяйственной деятельности, существовавшие на отчетную дату, отражается путем:</w:t>
      </w:r>
    </w:p>
    <w:p w:rsidR="00EA0D67" w:rsidRPr="00BC7AD6" w:rsidRDefault="00EA0D67"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А) выполнения записей по счетам бухгалтерского учета на конец отчетного периода и формирования бухгалтерской (финансовой) отчетности за отчетный период</w:t>
      </w:r>
      <w:r w:rsidR="00593795" w:rsidRPr="00BC7AD6">
        <w:rPr>
          <w:color w:val="000000"/>
        </w:rPr>
        <w:t xml:space="preserve"> на основе уточненных данных бухгалтерского учета.</w:t>
      </w:r>
    </w:p>
    <w:p w:rsidR="00593795" w:rsidRPr="00BC7AD6" w:rsidRDefault="00593795"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Б) уточнения информации об условиях хозяйственной деятельности, существовавших на отчетную дату, если такая информация раскрывается в Пояснениях к бухгалтерской (финансовой) отчетности.</w:t>
      </w:r>
    </w:p>
    <w:p w:rsidR="00593795" w:rsidRPr="00BC7AD6" w:rsidRDefault="00593795"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1.28. Событие, которое свидетельствует об условиях хозяйственной деятельности, возникших после отчетной даты, отражается путем:</w:t>
      </w:r>
    </w:p>
    <w:p w:rsidR="00593795" w:rsidRPr="00BC7AD6" w:rsidRDefault="00593795"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А) выполнения записей по счетам бухгалтерского учета в периоде, следующем за отчетным, в общем порядке.</w:t>
      </w:r>
    </w:p>
    <w:p w:rsidR="00593795" w:rsidRPr="00BC7AD6" w:rsidRDefault="00593795"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Б) раскрытия информации об указанном событии в пояснительной записке к бухгалтерской отчетности за отчетный период.</w:t>
      </w:r>
    </w:p>
    <w:p w:rsidR="00593795" w:rsidRPr="00BC7AD6" w:rsidRDefault="00593795"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1.29. Датой принятия бухгалтерской отчетности считается дата проставления отметки о принятии бухгалтерской отчетности финансовым управлением.</w:t>
      </w:r>
    </w:p>
    <w:p w:rsidR="00FF094F" w:rsidRPr="00BC7AD6" w:rsidRDefault="000166FE"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C7AD6">
        <w:rPr>
          <w:color w:val="000000"/>
        </w:rPr>
        <w:t>1</w:t>
      </w:r>
      <w:r w:rsidR="003A60E9" w:rsidRPr="00BC7AD6">
        <w:rPr>
          <w:color w:val="000000"/>
        </w:rPr>
        <w:t>.30. Квалифицирует событие как событие после отчетной даты</w:t>
      </w:r>
      <w:r w:rsidRPr="00BC7AD6">
        <w:rPr>
          <w:color w:val="000000"/>
        </w:rPr>
        <w:t xml:space="preserve"> главный бухгалтер</w:t>
      </w:r>
      <w:r w:rsidR="003A60E9" w:rsidRPr="00BC7AD6">
        <w:rPr>
          <w:color w:val="000000"/>
        </w:rPr>
        <w:t xml:space="preserve"> на основе своего профессионального суждения</w:t>
      </w:r>
      <w:r w:rsidRPr="00BC7AD6">
        <w:rPr>
          <w:color w:val="000000"/>
        </w:rPr>
        <w:t>.</w:t>
      </w:r>
    </w:p>
    <w:p w:rsidR="00FF094F" w:rsidRPr="00BC7AD6" w:rsidRDefault="00721E74"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C7AD6">
        <w:rPr>
          <w:b/>
          <w:bCs/>
        </w:rPr>
        <w:t>2. Учет основных средств</w:t>
      </w:r>
    </w:p>
    <w:p w:rsidR="00261E9C" w:rsidRPr="00BC7AD6" w:rsidRDefault="00FF094F" w:rsidP="00375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7AD6">
        <w:t xml:space="preserve">- </w:t>
      </w:r>
      <w:r w:rsidR="00721E74" w:rsidRPr="00BC7AD6">
        <w:t>В составе основных средств учитываются материальные объекты, используемые в процессе деятельности учреждения при выполнении работ или оказания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w:t>
      </w:r>
    </w:p>
    <w:p w:rsidR="00261E9C" w:rsidRPr="00BC7AD6" w:rsidRDefault="00FF094F" w:rsidP="00375EB8">
      <w:pPr>
        <w:pStyle w:val="a6"/>
        <w:spacing w:before="0" w:beforeAutospacing="0" w:after="0" w:afterAutospacing="0"/>
        <w:jc w:val="both"/>
      </w:pPr>
      <w:r w:rsidRPr="00BC7AD6">
        <w:t xml:space="preserve">- </w:t>
      </w:r>
      <w:r w:rsidR="00721E74" w:rsidRPr="00BC7AD6">
        <w:t xml:space="preserve">Учет основных средств осуществляется в разрезе: </w:t>
      </w:r>
    </w:p>
    <w:p w:rsidR="00261E9C" w:rsidRPr="00BC7AD6" w:rsidRDefault="00721E74" w:rsidP="00375EB8">
      <w:pPr>
        <w:numPr>
          <w:ilvl w:val="0"/>
          <w:numId w:val="7"/>
        </w:numPr>
        <w:jc w:val="both"/>
      </w:pPr>
      <w:r w:rsidRPr="00BC7AD6">
        <w:lastRenderedPageBreak/>
        <w:t>недвижимого имущества;</w:t>
      </w:r>
    </w:p>
    <w:p w:rsidR="00261E9C" w:rsidRPr="00BC7AD6" w:rsidRDefault="00721E74" w:rsidP="00375EB8">
      <w:pPr>
        <w:numPr>
          <w:ilvl w:val="0"/>
          <w:numId w:val="7"/>
        </w:numPr>
        <w:jc w:val="both"/>
      </w:pPr>
      <w:r w:rsidRPr="00BC7AD6">
        <w:t>иного движимого имущества.</w:t>
      </w:r>
    </w:p>
    <w:p w:rsidR="00261E9C" w:rsidRPr="00BC7AD6" w:rsidRDefault="00EB7DC9" w:rsidP="00375EB8">
      <w:pPr>
        <w:pStyle w:val="a6"/>
        <w:spacing w:before="0" w:beforeAutospacing="0" w:after="0" w:afterAutospacing="0"/>
        <w:jc w:val="both"/>
      </w:pPr>
      <w:r w:rsidRPr="00BC7AD6">
        <w:t xml:space="preserve">- </w:t>
      </w:r>
      <w:r w:rsidR="00721E74" w:rsidRPr="00BC7AD6">
        <w:t xml:space="preserve"> Для организации учета и обеспечения контроля за сохранностью основных средств каждому объекту, кроме библиотечных фондов и </w:t>
      </w:r>
      <w:r w:rsidR="00D53C97" w:rsidRPr="00BC7AD6">
        <w:t>основных средств стоимостью до 10</w:t>
      </w:r>
      <w:r w:rsidR="00721E74" w:rsidRPr="00BC7AD6">
        <w:t xml:space="preserve"> 000 руб. включительно (за исключением объектов недвижимости), независимо от того, находится он в эксплуатации, в запасе или на консервации, присваивается уникальный инвентарный порядко</w:t>
      </w:r>
      <w:r w:rsidR="009D3781" w:rsidRPr="00BC7AD6">
        <w:t>вый номер, состоящий из 12 цифр</w:t>
      </w:r>
      <w:r w:rsidR="00721E74" w:rsidRPr="00BC7AD6">
        <w:t>.</w:t>
      </w:r>
      <w:r w:rsidR="006D55B1" w:rsidRPr="00BC7AD6">
        <w:t xml:space="preserve"> О</w:t>
      </w:r>
      <w:r w:rsidR="00D53C97" w:rsidRPr="00BC7AD6">
        <w:t>сновное средство стоимостью до 10</w:t>
      </w:r>
      <w:r w:rsidR="006D55B1" w:rsidRPr="00BC7AD6">
        <w:t xml:space="preserve"> 000 руб. учитывается на </w:t>
      </w:r>
      <w:proofErr w:type="spellStart"/>
      <w:r w:rsidR="006D55B1" w:rsidRPr="00BC7AD6">
        <w:t>забалансовом</w:t>
      </w:r>
      <w:proofErr w:type="spellEnd"/>
      <w:r w:rsidR="006D55B1" w:rsidRPr="00BC7AD6">
        <w:t xml:space="preserve"> счете по стоимости приобретения.</w:t>
      </w:r>
    </w:p>
    <w:p w:rsidR="00EB7DC9" w:rsidRPr="00BC7AD6" w:rsidRDefault="00721E74" w:rsidP="00375EB8">
      <w:pPr>
        <w:pStyle w:val="a6"/>
        <w:spacing w:before="0" w:beforeAutospacing="0" w:after="0" w:afterAutospacing="0"/>
        <w:jc w:val="both"/>
      </w:pPr>
      <w:r w:rsidRPr="00BC7AD6">
        <w:t xml:space="preserve">Согласно </w:t>
      </w:r>
      <w:hyperlink r:id="rId8" w:tgtFrame="_blank" w:history="1">
        <w:r w:rsidRPr="00BC7AD6">
          <w:rPr>
            <w:rStyle w:val="a4"/>
            <w:color w:val="auto"/>
            <w:u w:val="none"/>
          </w:rPr>
          <w:t>Инструкции № 157н</w:t>
        </w:r>
      </w:hyperlink>
      <w:r w:rsidRPr="00BC7AD6">
        <w:t xml:space="preserve">, а также </w:t>
      </w:r>
      <w:hyperlink r:id="rId9" w:tgtFrame="_blank" w:history="1">
        <w:r w:rsidRPr="00BC7AD6">
          <w:rPr>
            <w:rStyle w:val="a4"/>
            <w:color w:val="auto"/>
            <w:u w:val="none"/>
          </w:rPr>
          <w:t>Постановлению Правительства РФ от 14.10.2010 № 834</w:t>
        </w:r>
      </w:hyperlink>
      <w:r w:rsidRPr="00BC7AD6">
        <w:t xml:space="preserve"> «Об особенностях списания федерального имущества» порядок по согласованию списания (выбытия), иных способов распоряжения недвижимым и особо ценным движимым имуществом установлен Распоряжением Главы МО Мирнинский район</w:t>
      </w:r>
      <w:r w:rsidR="00197EA4" w:rsidRPr="00BC7AD6">
        <w:t>.</w:t>
      </w:r>
    </w:p>
    <w:p w:rsidR="00EB7DC9" w:rsidRPr="00BC7AD6" w:rsidRDefault="00EB7DC9" w:rsidP="00375EB8">
      <w:pPr>
        <w:pStyle w:val="a6"/>
        <w:spacing w:before="0" w:beforeAutospacing="0" w:after="0" w:afterAutospacing="0"/>
        <w:jc w:val="both"/>
      </w:pPr>
      <w:r w:rsidRPr="00BC7AD6">
        <w:t xml:space="preserve">- </w:t>
      </w:r>
      <w:r w:rsidR="00721E74" w:rsidRPr="00BC7AD6">
        <w:t xml:space="preserve"> Начисление амортизации производится линейным способом в следующем порядке:</w:t>
      </w:r>
    </w:p>
    <w:p w:rsidR="00261E9C" w:rsidRPr="00BC7AD6" w:rsidRDefault="00721E74" w:rsidP="00375EB8">
      <w:pPr>
        <w:pStyle w:val="a6"/>
        <w:spacing w:before="0" w:beforeAutospacing="0" w:after="0" w:afterAutospacing="0"/>
        <w:jc w:val="both"/>
      </w:pPr>
      <w:r w:rsidRPr="00BC7AD6">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w:t>
      </w:r>
      <w:hyperlink r:id="rId10" w:tgtFrame="_blank" w:history="1">
        <w:r w:rsidRPr="00BC7AD6">
          <w:rPr>
            <w:rStyle w:val="a4"/>
            <w:color w:val="auto"/>
            <w:u w:val="none"/>
          </w:rPr>
          <w:t>Федеральным законом от 21.07.1997 № 122-ФЗ</w:t>
        </w:r>
      </w:hyperlink>
      <w:r w:rsidRPr="00BC7AD6">
        <w:t xml:space="preserve"> «О государственной регистрации прав на недвижимое имущество и сделок с ним»:</w:t>
      </w:r>
    </w:p>
    <w:p w:rsidR="00261E9C" w:rsidRPr="00BC7AD6" w:rsidRDefault="00721E74" w:rsidP="00375EB8">
      <w:pPr>
        <w:pStyle w:val="a6"/>
        <w:spacing w:before="0" w:beforeAutospacing="0" w:after="0" w:afterAutospacing="0"/>
        <w:jc w:val="both"/>
      </w:pPr>
      <w:r w:rsidRPr="00BC7AD6">
        <w:t>– стоимо</w:t>
      </w:r>
      <w:r w:rsidR="009D3781" w:rsidRPr="00BC7AD6">
        <w:t>стью до 10</w:t>
      </w:r>
      <w:r w:rsidRPr="00BC7AD6">
        <w:t>0 000 руб. включительно – в размере 100% балансовой стоимости объекта при принятии к учету;</w:t>
      </w:r>
    </w:p>
    <w:p w:rsidR="00261E9C" w:rsidRPr="00BC7AD6" w:rsidRDefault="009D3781" w:rsidP="00375EB8">
      <w:pPr>
        <w:pStyle w:val="a6"/>
        <w:spacing w:before="0" w:beforeAutospacing="0" w:after="0" w:afterAutospacing="0"/>
        <w:jc w:val="both"/>
      </w:pPr>
      <w:r w:rsidRPr="00BC7AD6">
        <w:t>– стоимостью свыше 10</w:t>
      </w:r>
      <w:r w:rsidR="00721E74" w:rsidRPr="00BC7AD6">
        <w:t>0 000 руб. – в соответствии с рассчитанными в установленном порядке нормами амортизации;</w:t>
      </w:r>
    </w:p>
    <w:p w:rsidR="00EB7DC9" w:rsidRPr="00BC7AD6" w:rsidRDefault="00721E74" w:rsidP="00375EB8">
      <w:pPr>
        <w:pStyle w:val="a6"/>
        <w:spacing w:before="0" w:beforeAutospacing="0" w:after="0" w:afterAutospacing="0"/>
        <w:jc w:val="both"/>
      </w:pPr>
      <w:r w:rsidRPr="00BC7AD6">
        <w:t>б) на объекты движимого имущества:</w:t>
      </w:r>
    </w:p>
    <w:p w:rsidR="00261E9C" w:rsidRPr="00BC7AD6" w:rsidRDefault="00721E74" w:rsidP="00375EB8">
      <w:pPr>
        <w:pStyle w:val="a6"/>
        <w:spacing w:before="0" w:beforeAutospacing="0" w:after="0" w:afterAutospacing="0"/>
        <w:jc w:val="both"/>
      </w:pPr>
      <w:r w:rsidRPr="00BC7AD6">
        <w:t>– на объекты биб</w:t>
      </w:r>
      <w:r w:rsidR="009D3781" w:rsidRPr="00BC7AD6">
        <w:t>лиотечного фонда стоимостью до 10</w:t>
      </w:r>
      <w:r w:rsidRPr="00BC7AD6">
        <w:t>0 000 руб. включительно – в размере 100% балансовой стоимости при выдаче объекта в эксплуатацию;</w:t>
      </w:r>
    </w:p>
    <w:p w:rsidR="00261E9C" w:rsidRPr="00BC7AD6" w:rsidRDefault="00721E74" w:rsidP="00375EB8">
      <w:pPr>
        <w:pStyle w:val="a6"/>
        <w:spacing w:before="0" w:beforeAutospacing="0" w:after="0" w:afterAutospacing="0"/>
        <w:jc w:val="both"/>
      </w:pPr>
      <w:r w:rsidRPr="00BC7AD6">
        <w:t>– на объекты осн</w:t>
      </w:r>
      <w:r w:rsidR="009D3781" w:rsidRPr="00BC7AD6">
        <w:t>овных средств стоимостью свыше 10</w:t>
      </w:r>
      <w:r w:rsidRPr="00BC7AD6">
        <w:t>0 000 руб. – в соответствии с рассчитанными в установленном порядке нормами амортизации;</w:t>
      </w:r>
    </w:p>
    <w:p w:rsidR="00261E9C" w:rsidRPr="00BC7AD6" w:rsidRDefault="00721E74" w:rsidP="00375EB8">
      <w:pPr>
        <w:pStyle w:val="a6"/>
        <w:spacing w:before="0" w:beforeAutospacing="0" w:after="0" w:afterAutospacing="0"/>
        <w:jc w:val="both"/>
      </w:pPr>
      <w:r w:rsidRPr="00BC7AD6">
        <w:t>– на объекты основных средств стоимос</w:t>
      </w:r>
      <w:r w:rsidR="00D53C97" w:rsidRPr="00BC7AD6">
        <w:t>тью до 10</w:t>
      </w:r>
      <w:r w:rsidRPr="00BC7AD6">
        <w:t xml:space="preserve"> 000 рублей включительно, за исключением объектов библиотечного фонда, нематериальных активов, – не начисляется;</w:t>
      </w:r>
    </w:p>
    <w:p w:rsidR="00261E9C" w:rsidRPr="00BC7AD6" w:rsidRDefault="00721E74" w:rsidP="00375EB8">
      <w:pPr>
        <w:pStyle w:val="a6"/>
        <w:spacing w:before="0" w:beforeAutospacing="0" w:after="0" w:afterAutospacing="0"/>
        <w:jc w:val="both"/>
      </w:pPr>
      <w:r w:rsidRPr="00BC7AD6">
        <w:t xml:space="preserve">– на иные объекты основных </w:t>
      </w:r>
      <w:r w:rsidR="00D53C97" w:rsidRPr="00BC7AD6">
        <w:t>средств стоимостью от 10</w:t>
      </w:r>
      <w:r w:rsidR="009D3781" w:rsidRPr="00BC7AD6">
        <w:t xml:space="preserve"> 000 до 10</w:t>
      </w:r>
      <w:r w:rsidRPr="00BC7AD6">
        <w:t>0 000 руб. включительно – в размере 100% балансовой стоимости при выдаче объекта в эксплуатацию.</w:t>
      </w:r>
    </w:p>
    <w:p w:rsidR="004C745E" w:rsidRPr="00BC7AD6" w:rsidRDefault="00EB7DC9" w:rsidP="00375EB8">
      <w:pPr>
        <w:pStyle w:val="a6"/>
        <w:spacing w:before="0" w:beforeAutospacing="0" w:after="0" w:afterAutospacing="0"/>
        <w:jc w:val="both"/>
      </w:pPr>
      <w:r w:rsidRPr="00BC7AD6">
        <w:t>-</w:t>
      </w:r>
      <w:r w:rsidR="00721E74" w:rsidRPr="00BC7AD6">
        <w:t xml:space="preserve"> При принятии к бухгалтерскому учету объекта нефинансового актива, полученного безвозмездно (по договору дарения), в виде излишков основных средств, выявленных при инвентаризации, и в иных случаях в целях определения оценочной стоимости комиссией по поступлению и выбытию активов используются: </w:t>
      </w:r>
    </w:p>
    <w:p w:rsidR="0057535B" w:rsidRPr="00BC7AD6" w:rsidRDefault="004C745E" w:rsidP="00375EB8">
      <w:pPr>
        <w:pStyle w:val="a6"/>
        <w:spacing w:before="0" w:beforeAutospacing="0" w:after="0" w:afterAutospacing="0"/>
        <w:jc w:val="both"/>
      </w:pPr>
      <w:r w:rsidRPr="00BC7AD6">
        <w:t xml:space="preserve">- </w:t>
      </w:r>
      <w:r w:rsidR="00721E74" w:rsidRPr="00BC7AD6">
        <w:t>сведения об уровне цен, имеющиеся у органов государственной статистики, торговых инспекций, в средствах массовой информации и специальной литературе.</w:t>
      </w:r>
    </w:p>
    <w:p w:rsidR="00261E9C" w:rsidRPr="00BC7AD6" w:rsidRDefault="00EB7DC9" w:rsidP="00375EB8">
      <w:pPr>
        <w:pStyle w:val="a6"/>
        <w:spacing w:before="0" w:beforeAutospacing="0" w:after="0" w:afterAutospacing="0"/>
        <w:jc w:val="both"/>
      </w:pPr>
      <w:r w:rsidRPr="00BC7AD6">
        <w:t xml:space="preserve">- </w:t>
      </w:r>
      <w:r w:rsidR="00721E74" w:rsidRPr="00BC7AD6">
        <w:t>Переоценка основных средств производится в сроки и в порядке, устанавливаемые Правительством РФ.</w:t>
      </w:r>
    </w:p>
    <w:p w:rsidR="00261E9C" w:rsidRPr="00BC7AD6" w:rsidRDefault="00EB7DC9" w:rsidP="00375EB8">
      <w:pPr>
        <w:pStyle w:val="a6"/>
        <w:spacing w:before="0" w:beforeAutospacing="0" w:after="0" w:afterAutospacing="0"/>
        <w:jc w:val="both"/>
      </w:pPr>
      <w:r w:rsidRPr="00BC7AD6">
        <w:t xml:space="preserve">- </w:t>
      </w:r>
      <w:r w:rsidR="00721E74" w:rsidRPr="00BC7AD6">
        <w:t xml:space="preserve">Списание активов с </w:t>
      </w:r>
      <w:proofErr w:type="spellStart"/>
      <w:r w:rsidR="00721E74" w:rsidRPr="00BC7AD6">
        <w:t>забалансового</w:t>
      </w:r>
      <w:proofErr w:type="spellEnd"/>
      <w:r w:rsidR="00721E74" w:rsidRPr="00BC7AD6">
        <w:t xml:space="preserve"> учета объектов основных средств производится по мере: </w:t>
      </w:r>
    </w:p>
    <w:p w:rsidR="00BC7AD6" w:rsidRDefault="00721E74" w:rsidP="00BC7AD6">
      <w:pPr>
        <w:numPr>
          <w:ilvl w:val="0"/>
          <w:numId w:val="9"/>
        </w:numPr>
        <w:jc w:val="both"/>
      </w:pPr>
      <w:r w:rsidRPr="00BC7AD6">
        <w:t>непригодности к использованию.</w:t>
      </w:r>
    </w:p>
    <w:p w:rsidR="00261E9C" w:rsidRPr="00BC7AD6" w:rsidRDefault="00721E74" w:rsidP="00BC7AD6">
      <w:pPr>
        <w:jc w:val="both"/>
      </w:pPr>
      <w:r w:rsidRPr="00BC7AD6">
        <w:rPr>
          <w:b/>
          <w:bCs/>
        </w:rPr>
        <w:t>3. Учет материальных запасов</w:t>
      </w:r>
    </w:p>
    <w:p w:rsidR="00EB7DC9" w:rsidRPr="00BC7AD6" w:rsidRDefault="00EB7DC9" w:rsidP="00375EB8">
      <w:pPr>
        <w:pStyle w:val="a6"/>
        <w:spacing w:before="0" w:beforeAutospacing="0" w:after="0" w:afterAutospacing="0"/>
        <w:jc w:val="both"/>
      </w:pPr>
      <w:r w:rsidRPr="00BC7AD6">
        <w:t xml:space="preserve">- </w:t>
      </w:r>
      <w:r w:rsidR="00721E74" w:rsidRPr="00BC7AD6">
        <w:t xml:space="preserve">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объекты, указанные в п. 99 </w:t>
      </w:r>
      <w:hyperlink r:id="rId11" w:tgtFrame="_blank" w:history="1">
        <w:r w:rsidR="00721E74" w:rsidRPr="00BC7AD6">
          <w:rPr>
            <w:rStyle w:val="a4"/>
            <w:color w:val="auto"/>
            <w:u w:val="none"/>
          </w:rPr>
          <w:t>Инструкции № 157н</w:t>
        </w:r>
      </w:hyperlink>
      <w:r w:rsidRPr="00BC7AD6">
        <w:t xml:space="preserve">. </w:t>
      </w:r>
    </w:p>
    <w:p w:rsidR="00261E9C" w:rsidRPr="00BC7AD6" w:rsidRDefault="00EB7DC9" w:rsidP="00375EB8">
      <w:pPr>
        <w:pStyle w:val="a6"/>
        <w:spacing w:before="0" w:beforeAutospacing="0" w:after="0" w:afterAutospacing="0"/>
        <w:jc w:val="both"/>
      </w:pPr>
      <w:r w:rsidRPr="00BC7AD6">
        <w:t xml:space="preserve">- </w:t>
      </w:r>
      <w:r w:rsidR="00721E74" w:rsidRPr="00BC7AD6">
        <w:t xml:space="preserve"> Аналитический учет материальных запасов ведется по: </w:t>
      </w:r>
    </w:p>
    <w:p w:rsidR="00261E9C" w:rsidRPr="00BC7AD6" w:rsidRDefault="00721E74" w:rsidP="00375EB8">
      <w:pPr>
        <w:numPr>
          <w:ilvl w:val="0"/>
          <w:numId w:val="10"/>
        </w:numPr>
        <w:jc w:val="both"/>
      </w:pPr>
      <w:r w:rsidRPr="00BC7AD6">
        <w:t>видам запасов;</w:t>
      </w:r>
    </w:p>
    <w:p w:rsidR="00261E9C" w:rsidRPr="00BC7AD6" w:rsidRDefault="00721E74" w:rsidP="00375EB8">
      <w:pPr>
        <w:numPr>
          <w:ilvl w:val="0"/>
          <w:numId w:val="10"/>
        </w:numPr>
        <w:jc w:val="both"/>
      </w:pPr>
      <w:r w:rsidRPr="00BC7AD6">
        <w:t>наименованиям;</w:t>
      </w:r>
    </w:p>
    <w:p w:rsidR="00261E9C" w:rsidRPr="00BC7AD6" w:rsidRDefault="00721E74" w:rsidP="00375EB8">
      <w:pPr>
        <w:numPr>
          <w:ilvl w:val="0"/>
          <w:numId w:val="10"/>
        </w:numPr>
        <w:jc w:val="both"/>
      </w:pPr>
      <w:r w:rsidRPr="00BC7AD6">
        <w:t>материально ответственным лицам.</w:t>
      </w:r>
    </w:p>
    <w:p w:rsidR="00261E9C" w:rsidRPr="00BC7AD6" w:rsidRDefault="00BC7AD6" w:rsidP="00375EB8">
      <w:pPr>
        <w:pStyle w:val="a6"/>
        <w:spacing w:before="0" w:beforeAutospacing="0" w:after="0" w:afterAutospacing="0"/>
        <w:jc w:val="both"/>
      </w:pPr>
      <w:r>
        <w:t xml:space="preserve">- </w:t>
      </w:r>
      <w:r w:rsidR="00721E74" w:rsidRPr="00BC7AD6">
        <w:t xml:space="preserve"> При списании горюче-смазочных материалов (далее – ГСМ) применяются: </w:t>
      </w:r>
    </w:p>
    <w:p w:rsidR="00261E9C" w:rsidRPr="00BC7AD6" w:rsidRDefault="00721E74" w:rsidP="00375EB8">
      <w:pPr>
        <w:numPr>
          <w:ilvl w:val="0"/>
          <w:numId w:val="12"/>
        </w:numPr>
        <w:jc w:val="both"/>
      </w:pPr>
      <w:r w:rsidRPr="00BC7AD6">
        <w:t>нормы, разработанные самостоятельно на основе методических рекомендаций «</w:t>
      </w:r>
      <w:hyperlink r:id="rId12" w:history="1">
        <w:r w:rsidRPr="00BC7AD6">
          <w:rPr>
            <w:rStyle w:val="a4"/>
            <w:color w:val="auto"/>
            <w:u w:val="none"/>
          </w:rPr>
          <w:t>Нормы расхода топлив и смазочных материалов на автомобильном транспорте</w:t>
        </w:r>
      </w:hyperlink>
      <w:r w:rsidRPr="00BC7AD6">
        <w:t xml:space="preserve">», утвержденных </w:t>
      </w:r>
      <w:hyperlink r:id="rId13" w:tgtFrame="_blank" w:history="1">
        <w:r w:rsidRPr="00BC7AD6">
          <w:rPr>
            <w:rStyle w:val="a4"/>
            <w:color w:val="auto"/>
            <w:u w:val="none"/>
          </w:rPr>
          <w:t>Распоряжением Минтранса РФ от 14.03.2008 № АМ-23-р</w:t>
        </w:r>
      </w:hyperlink>
      <w:r w:rsidRPr="00BC7AD6">
        <w:t>.</w:t>
      </w:r>
    </w:p>
    <w:p w:rsidR="00261E9C" w:rsidRPr="00BC7AD6" w:rsidRDefault="00721E74" w:rsidP="00375EB8">
      <w:pPr>
        <w:pStyle w:val="a6"/>
        <w:spacing w:before="0" w:beforeAutospacing="0" w:after="0" w:afterAutospacing="0"/>
        <w:jc w:val="both"/>
      </w:pPr>
      <w:r w:rsidRPr="00BC7AD6">
        <w:t>Переход на летнюю и зимнюю норму расхода ГСМ утверждается ежегодно отдельным приказом по учреждению.</w:t>
      </w:r>
    </w:p>
    <w:p w:rsidR="00261E9C" w:rsidRPr="00BC7AD6" w:rsidRDefault="00EB7DC9" w:rsidP="00375EB8">
      <w:pPr>
        <w:pStyle w:val="a6"/>
        <w:spacing w:before="0" w:beforeAutospacing="0" w:after="0" w:afterAutospacing="0"/>
        <w:jc w:val="both"/>
      </w:pPr>
      <w:r w:rsidRPr="00BC7AD6">
        <w:lastRenderedPageBreak/>
        <w:t>-</w:t>
      </w:r>
      <w:r w:rsidR="00721E74" w:rsidRPr="00BC7AD6">
        <w:t xml:space="preserve"> Расход ГСМ подтверждается данными путевых листов, составляемых и предоставляемых в бухгалтерию ежедневно.</w:t>
      </w:r>
    </w:p>
    <w:p w:rsidR="00261E9C" w:rsidRPr="00BC7AD6" w:rsidRDefault="00EB7DC9" w:rsidP="00375EB8">
      <w:pPr>
        <w:pStyle w:val="a6"/>
        <w:spacing w:before="0" w:beforeAutospacing="0" w:after="0" w:afterAutospacing="0"/>
        <w:jc w:val="both"/>
      </w:pPr>
      <w:r w:rsidRPr="00BC7AD6">
        <w:t xml:space="preserve">- </w:t>
      </w:r>
      <w:r w:rsidR="00721E74" w:rsidRPr="00BC7AD6">
        <w:t xml:space="preserve">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 </w:t>
      </w:r>
    </w:p>
    <w:p w:rsidR="00BC7AD6" w:rsidRDefault="00EB7DC9" w:rsidP="00BC7AD6">
      <w:pPr>
        <w:pStyle w:val="a6"/>
        <w:spacing w:before="0" w:beforeAutospacing="0" w:after="0" w:afterAutospacing="0"/>
        <w:jc w:val="both"/>
      </w:pPr>
      <w:r w:rsidRPr="00BC7AD6">
        <w:t xml:space="preserve">- </w:t>
      </w:r>
      <w:r w:rsidR="00721E74" w:rsidRPr="00BC7AD6">
        <w:t xml:space="preserve">Строительные материалы списываются на основании актов и отчетов, составленных в форме, установленной в приложении Акты списания для ТМЦ. </w:t>
      </w:r>
    </w:p>
    <w:p w:rsidR="00261E9C" w:rsidRPr="00BC7AD6" w:rsidRDefault="00721E74" w:rsidP="00BC7AD6">
      <w:pPr>
        <w:pStyle w:val="a6"/>
        <w:spacing w:before="0" w:beforeAutospacing="0" w:after="0" w:afterAutospacing="0"/>
        <w:jc w:val="both"/>
        <w:rPr>
          <w:rFonts w:eastAsia="Times New Roman"/>
        </w:rPr>
      </w:pPr>
      <w:r w:rsidRPr="00BC7AD6">
        <w:rPr>
          <w:rFonts w:eastAsia="Times New Roman"/>
          <w:b/>
          <w:bCs/>
        </w:rPr>
        <w:t>4. Учет финансовых активов и обязательств</w:t>
      </w:r>
    </w:p>
    <w:p w:rsidR="00261E9C" w:rsidRPr="00BC7AD6" w:rsidRDefault="00EB7DC9" w:rsidP="00375EB8">
      <w:pPr>
        <w:pStyle w:val="a6"/>
        <w:spacing w:before="0" w:beforeAutospacing="0" w:after="0" w:afterAutospacing="0"/>
        <w:ind w:left="57"/>
        <w:jc w:val="both"/>
      </w:pPr>
      <w:r w:rsidRPr="00BC7AD6">
        <w:t>-</w:t>
      </w:r>
      <w:r w:rsidR="00721E74" w:rsidRPr="00BC7AD6">
        <w:t xml:space="preserve"> Операции с наличными средствами, а также обеспечение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в соответствии с Положением о порядке ведения кассовых операций с банкнотами и монетой Банка России на территории Российской Федерации, утвержденным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(действует с 01.06.2014) и Порядком ведения кассовых операций с наличными средствами в учреждении, установленным приложением все расчеты производятся путем перечисления средств через банк на личную карту сотрудника, при возврате подотчета сотрудник также вносит денежные средства через банк на лицевой счет МКУ "МРУО".</w:t>
      </w:r>
    </w:p>
    <w:p w:rsidR="00261E9C" w:rsidRPr="00BC7AD6" w:rsidRDefault="00EB7DC9" w:rsidP="00375EB8">
      <w:pPr>
        <w:pStyle w:val="a6"/>
        <w:spacing w:before="0" w:beforeAutospacing="0" w:after="0" w:afterAutospacing="0"/>
        <w:ind w:left="57"/>
        <w:jc w:val="both"/>
      </w:pPr>
      <w:r w:rsidRPr="00BC7AD6">
        <w:t>-</w:t>
      </w:r>
      <w:r w:rsidR="00721E74" w:rsidRPr="00BC7AD6">
        <w:t xml:space="preserve">Перечень должностных лиц, имеющих право на получение наличных денежных средств в подотчет на хозяйственные цели и представительские расходы, и лимит подотчетных сумм устанавливаются приказом руководителя. </w:t>
      </w:r>
    </w:p>
    <w:p w:rsidR="00F63DE5" w:rsidRPr="00BC7AD6" w:rsidRDefault="00EB7DC9" w:rsidP="00375EB8">
      <w:pPr>
        <w:pStyle w:val="a6"/>
        <w:spacing w:before="0" w:beforeAutospacing="0" w:after="0" w:afterAutospacing="0"/>
        <w:ind w:left="57"/>
        <w:jc w:val="both"/>
      </w:pPr>
      <w:r w:rsidRPr="00BC7AD6">
        <w:t>-</w:t>
      </w:r>
      <w:r w:rsidR="00F63DE5" w:rsidRPr="00BC7AD6">
        <w:t xml:space="preserve">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F63DE5" w:rsidRPr="00BC7AD6" w:rsidRDefault="00F63DE5" w:rsidP="00375EB8">
      <w:pPr>
        <w:pStyle w:val="a6"/>
        <w:spacing w:before="0" w:beforeAutospacing="0" w:after="0" w:afterAutospacing="0"/>
        <w:ind w:left="57"/>
        <w:jc w:val="both"/>
      </w:pPr>
      <w:r w:rsidRPr="00BC7AD6">
        <w:t>- отсутствие обеспечения долга залогом, банковской гарантией;</w:t>
      </w:r>
    </w:p>
    <w:p w:rsidR="00F63DE5" w:rsidRPr="00BC7AD6" w:rsidRDefault="00F63DE5" w:rsidP="00375EB8">
      <w:pPr>
        <w:pStyle w:val="a6"/>
        <w:spacing w:before="0" w:beforeAutospacing="0" w:after="0" w:afterAutospacing="0"/>
        <w:ind w:left="57"/>
        <w:jc w:val="both"/>
      </w:pPr>
      <w:r w:rsidRPr="00BC7AD6">
        <w:t>- значительные финансовые затруднения должника, ставшие известными из СМИ или других источников;</w:t>
      </w:r>
    </w:p>
    <w:p w:rsidR="00F63DE5" w:rsidRPr="00BC7AD6" w:rsidRDefault="00F63DE5" w:rsidP="00375EB8">
      <w:pPr>
        <w:pStyle w:val="a6"/>
        <w:spacing w:before="0" w:beforeAutospacing="0" w:after="0" w:afterAutospacing="0"/>
        <w:ind w:left="57"/>
        <w:jc w:val="both"/>
      </w:pPr>
      <w:r w:rsidRPr="00BC7AD6">
        <w:t>- возбуждение процедуры банкротства в отношении должника.</w:t>
      </w:r>
    </w:p>
    <w:p w:rsidR="00F63DE5" w:rsidRPr="00BC7AD6" w:rsidRDefault="00EB7DC9" w:rsidP="00375EB8">
      <w:pPr>
        <w:pStyle w:val="a6"/>
        <w:spacing w:before="0" w:beforeAutospacing="0" w:after="0" w:afterAutospacing="0"/>
        <w:ind w:left="57"/>
        <w:jc w:val="both"/>
      </w:pPr>
      <w:r w:rsidRPr="00BC7AD6">
        <w:t>-</w:t>
      </w:r>
      <w:r w:rsidR="00F63DE5" w:rsidRPr="00BC7AD6">
        <w:t xml:space="preserve"> Не признается сомнительной задолженность:</w:t>
      </w:r>
    </w:p>
    <w:p w:rsidR="00F63DE5" w:rsidRPr="00BC7AD6" w:rsidRDefault="00F63DE5" w:rsidP="00375EB8">
      <w:pPr>
        <w:pStyle w:val="a6"/>
        <w:spacing w:before="0" w:beforeAutospacing="0" w:after="0" w:afterAutospacing="0"/>
        <w:ind w:left="57"/>
        <w:jc w:val="both"/>
      </w:pPr>
      <w:r w:rsidRPr="00BC7AD6">
        <w:t>- обязательства должников, просрочка исполнения которых не превышает 30 дней;</w:t>
      </w:r>
    </w:p>
    <w:p w:rsidR="00F63DE5" w:rsidRPr="00BC7AD6" w:rsidRDefault="00F63DE5" w:rsidP="00375EB8">
      <w:pPr>
        <w:pStyle w:val="a6"/>
        <w:spacing w:before="0" w:beforeAutospacing="0" w:after="0" w:afterAutospacing="0"/>
        <w:ind w:left="57"/>
        <w:jc w:val="both"/>
      </w:pPr>
      <w:r w:rsidRPr="00BC7AD6">
        <w:t>- задолженность заказчиков по договорам оказания услуг или выполнения работ, по которым срок действия договора еще не истек.</w:t>
      </w:r>
    </w:p>
    <w:p w:rsidR="00F63DE5" w:rsidRPr="00BC7AD6" w:rsidRDefault="00EB7DC9" w:rsidP="00375EB8">
      <w:pPr>
        <w:pStyle w:val="a6"/>
        <w:spacing w:before="0" w:beforeAutospacing="0" w:after="0" w:afterAutospacing="0"/>
        <w:ind w:left="57"/>
        <w:jc w:val="both"/>
      </w:pPr>
      <w:r w:rsidRPr="00BC7AD6">
        <w:t>-</w:t>
      </w:r>
      <w:r w:rsidR="00F63DE5" w:rsidRPr="00BC7AD6">
        <w:t xml:space="preserve"> С целью квалификации задолженности сомнительной каждый долг индивидуально оценивается на предмет наличия обстоятельств, приведенных в пункте 4.6. настоящего положения.</w:t>
      </w:r>
    </w:p>
    <w:p w:rsidR="00261E9C" w:rsidRPr="00BC7AD6" w:rsidRDefault="00EB7DC9" w:rsidP="00375EB8">
      <w:pPr>
        <w:pStyle w:val="a6"/>
        <w:spacing w:before="0" w:beforeAutospacing="0" w:after="0" w:afterAutospacing="0"/>
        <w:ind w:left="57"/>
        <w:jc w:val="both"/>
      </w:pPr>
      <w:r w:rsidRPr="00BC7AD6">
        <w:t>-</w:t>
      </w:r>
      <w:r w:rsidR="00721E74" w:rsidRPr="00BC7AD6">
        <w:t xml:space="preserve"> Списание безнадежной дебиторской (кредиторск</w:t>
      </w:r>
      <w:r w:rsidR="00682DA3" w:rsidRPr="00BC7AD6">
        <w:t>ой) задолженности производится согласно Постановлению АМО «Мирнинский район» № 0587 от 20.05.2016г.</w:t>
      </w:r>
    </w:p>
    <w:p w:rsidR="00682DA3" w:rsidRPr="00BC7AD6" w:rsidRDefault="00EB7DC9" w:rsidP="00375EB8">
      <w:pPr>
        <w:pStyle w:val="a6"/>
        <w:spacing w:before="0" w:beforeAutospacing="0" w:after="0" w:afterAutospacing="0"/>
        <w:ind w:left="57"/>
        <w:jc w:val="both"/>
      </w:pPr>
      <w:r w:rsidRPr="00BC7AD6">
        <w:t>-</w:t>
      </w:r>
      <w:r w:rsidR="00721E74" w:rsidRPr="00BC7AD6">
        <w:t xml:space="preserve"> Нереальная к взысканию дебиторская задолженность, срок исковой давности которой истек, списывается c баланса по результатам инвентаризации. Основанием для списания является: </w:t>
      </w:r>
    </w:p>
    <w:p w:rsidR="00261E9C" w:rsidRPr="00BC7AD6" w:rsidRDefault="00682DA3" w:rsidP="00BC7AD6">
      <w:pPr>
        <w:ind w:left="57"/>
        <w:jc w:val="both"/>
      </w:pPr>
      <w:r w:rsidRPr="00BC7AD6">
        <w:t xml:space="preserve">протокол инвентаризации дебиторской и кредиторской задолженности, </w:t>
      </w:r>
      <w:r w:rsidR="00721E74" w:rsidRPr="00BC7AD6">
        <w:t>решение руководителя (приказ) о списании этой задолженности.</w:t>
      </w:r>
    </w:p>
    <w:p w:rsidR="00261E9C" w:rsidRPr="00BC7AD6" w:rsidRDefault="00BC7AD6" w:rsidP="00375EB8">
      <w:pPr>
        <w:pStyle w:val="a6"/>
        <w:spacing w:before="0" w:beforeAutospacing="0" w:after="0" w:afterAutospacing="0"/>
        <w:ind w:left="57"/>
        <w:jc w:val="both"/>
      </w:pPr>
      <w:r>
        <w:t xml:space="preserve">- </w:t>
      </w:r>
      <w:r w:rsidR="00721E74" w:rsidRPr="00BC7AD6">
        <w:t xml:space="preserve">Кредиторская задолженность, невостребованная кредиторами, списывается с баланса по результатам инвентаризации. Основанием для списания служит: </w:t>
      </w:r>
    </w:p>
    <w:p w:rsidR="00BC7AD6" w:rsidRDefault="00721E74" w:rsidP="00BC7AD6">
      <w:pPr>
        <w:ind w:left="57"/>
        <w:jc w:val="both"/>
      </w:pPr>
      <w:r w:rsidRPr="00BC7AD6">
        <w:t>решение руководителя (приказ) о списании этой задолженности.</w:t>
      </w:r>
    </w:p>
    <w:p w:rsidR="00261E9C" w:rsidRPr="00BC7AD6" w:rsidRDefault="00721E74" w:rsidP="00BC7AD6">
      <w:pPr>
        <w:ind w:left="57"/>
        <w:jc w:val="both"/>
      </w:pPr>
      <w:r w:rsidRPr="00BC7AD6">
        <w:rPr>
          <w:b/>
          <w:bCs/>
        </w:rPr>
        <w:t>5. Учет доходов и расходов</w:t>
      </w:r>
    </w:p>
    <w:p w:rsidR="00261E9C" w:rsidRPr="00BC7AD6" w:rsidRDefault="0032352F" w:rsidP="00375EB8">
      <w:pPr>
        <w:pStyle w:val="a6"/>
        <w:spacing w:before="0" w:beforeAutospacing="0" w:after="0" w:afterAutospacing="0"/>
        <w:jc w:val="both"/>
      </w:pPr>
      <w:r w:rsidRPr="00BC7AD6">
        <w:t xml:space="preserve">- </w:t>
      </w:r>
      <w:r w:rsidR="00721E74" w:rsidRPr="00BC7AD6">
        <w:t xml:space="preserve">Доходы и расходы учреждения признаются по методу начисления. Оценка доходов производится по продажной цене, сумме сделки, указанной в договоре. Дата признания определяется по дате перехода права собственности на услугу, товар, готовую продукцию, работу. Начисление доходов осуществляется в следующем порядке: </w:t>
      </w:r>
    </w:p>
    <w:p w:rsidR="00261E9C" w:rsidRPr="00BC7AD6" w:rsidRDefault="00721E74" w:rsidP="00375EB8">
      <w:pPr>
        <w:pStyle w:val="a6"/>
        <w:spacing w:before="0" w:beforeAutospacing="0" w:after="0" w:afterAutospacing="0"/>
        <w:jc w:val="both"/>
      </w:pPr>
      <w:r w:rsidRPr="00BC7AD6">
        <w:t>– от реализации работ (услуг), покупных товаров и готовой продукции осуществляется на дату их реализации (на дату составления акта выполненных работ, оказанных услуг, товарной накладной, иного документа, предусмотренного условиями договоров в рамках обычая делового оборота, подтверждающего фактическое исполнение работ (услуг));</w:t>
      </w:r>
    </w:p>
    <w:p w:rsidR="00261E9C" w:rsidRPr="00BC7AD6" w:rsidRDefault="00721E74" w:rsidP="00375EB8">
      <w:pPr>
        <w:pStyle w:val="a6"/>
        <w:spacing w:before="0" w:beforeAutospacing="0" w:after="0" w:afterAutospacing="0"/>
        <w:jc w:val="both"/>
      </w:pPr>
      <w:r w:rsidRPr="00BC7AD6">
        <w:t>– на дату подписания акта приема-передачи имущества;</w:t>
      </w:r>
    </w:p>
    <w:p w:rsidR="00261E9C" w:rsidRPr="00BC7AD6" w:rsidRDefault="00721E74" w:rsidP="00375EB8">
      <w:pPr>
        <w:pStyle w:val="a6"/>
        <w:spacing w:before="0" w:beforeAutospacing="0" w:after="0" w:afterAutospacing="0"/>
        <w:jc w:val="both"/>
      </w:pPr>
      <w:r w:rsidRPr="00BC7AD6">
        <w:lastRenderedPageBreak/>
        <w:t>– в виде штрафов, пеней и (или) иных санкций за нарушение договорных или долговых обязательств, а также в виде сумм возмещения убытков (ущерба) – на дату признания их должником (подписания акта) либо на дату вступления в законную силу решения суда.</w:t>
      </w:r>
    </w:p>
    <w:p w:rsidR="00261E9C" w:rsidRPr="00BC7AD6" w:rsidRDefault="00721E74" w:rsidP="00375EB8">
      <w:pPr>
        <w:pStyle w:val="a6"/>
        <w:spacing w:before="0" w:beforeAutospacing="0" w:after="0" w:afterAutospacing="0"/>
        <w:jc w:val="both"/>
      </w:pPr>
      <w:r w:rsidRPr="00BC7AD6">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w:t>
      </w:r>
    </w:p>
    <w:p w:rsidR="00245CA0" w:rsidRPr="00BC7AD6" w:rsidRDefault="0032352F" w:rsidP="00375EB8">
      <w:pPr>
        <w:pStyle w:val="a6"/>
        <w:spacing w:before="0" w:beforeAutospacing="0" w:after="0" w:afterAutospacing="0"/>
        <w:jc w:val="both"/>
      </w:pPr>
      <w:r w:rsidRPr="00BC7AD6">
        <w:t xml:space="preserve">- </w:t>
      </w:r>
      <w:r w:rsidR="00245CA0" w:rsidRPr="00BC7AD6">
        <w:t>Доходы будущих периодов учитываются на счете 401.40. К доходам будущих периодов относятся доходы по денежным взысканиям, штрафным санкциям:</w:t>
      </w:r>
    </w:p>
    <w:p w:rsidR="00245CA0" w:rsidRPr="00BC7AD6" w:rsidRDefault="00245CA0" w:rsidP="00375EB8">
      <w:pPr>
        <w:pStyle w:val="a6"/>
        <w:spacing w:before="0" w:beforeAutospacing="0" w:after="0" w:afterAutospacing="0"/>
        <w:jc w:val="both"/>
      </w:pPr>
      <w:r w:rsidRPr="00BC7AD6">
        <w:t>- за нарушение законодательства о закупках;</w:t>
      </w:r>
    </w:p>
    <w:p w:rsidR="00245CA0" w:rsidRPr="00BC7AD6" w:rsidRDefault="00245CA0" w:rsidP="00375EB8">
      <w:pPr>
        <w:pStyle w:val="a6"/>
        <w:spacing w:before="0" w:beforeAutospacing="0" w:after="0" w:afterAutospacing="0"/>
        <w:jc w:val="both"/>
      </w:pPr>
      <w:r w:rsidRPr="00BC7AD6">
        <w:t>- за возмещение ущерба имуществу, финансовым активам (кроме страховых).</w:t>
      </w:r>
    </w:p>
    <w:p w:rsidR="0032352F" w:rsidRPr="00BC7AD6" w:rsidRDefault="00245CA0" w:rsidP="00375EB8">
      <w:pPr>
        <w:pStyle w:val="a6"/>
        <w:spacing w:before="0" w:beforeAutospacing="0" w:after="0" w:afterAutospacing="0"/>
        <w:jc w:val="both"/>
      </w:pPr>
      <w:r w:rsidRPr="00BC7AD6">
        <w:t>Доходы будущих периодов признаются в текущих доходах при оформлении требования о предъявлении штрафных санкций, получении судебного иска, подписания соглашения о возмещении ущерба. Оформляется бухгалтерской справкой.</w:t>
      </w:r>
    </w:p>
    <w:p w:rsidR="002037B4" w:rsidRPr="00BC7AD6" w:rsidRDefault="0032352F" w:rsidP="00375EB8">
      <w:pPr>
        <w:pStyle w:val="a6"/>
        <w:spacing w:before="0" w:beforeAutospacing="0" w:after="0" w:afterAutospacing="0"/>
        <w:jc w:val="both"/>
      </w:pPr>
      <w:r w:rsidRPr="00BC7AD6">
        <w:t>-</w:t>
      </w:r>
      <w:r w:rsidR="002037B4" w:rsidRPr="00BC7AD6">
        <w:t xml:space="preserve"> Расходы будущих периодов учитываются на счете 401.50. К расходам будущих периодов относятся:</w:t>
      </w:r>
    </w:p>
    <w:p w:rsidR="002037B4" w:rsidRPr="00BC7AD6" w:rsidRDefault="002037B4" w:rsidP="00375EB8">
      <w:pPr>
        <w:pStyle w:val="a6"/>
        <w:spacing w:before="0" w:beforeAutospacing="0" w:after="0" w:afterAutospacing="0"/>
        <w:jc w:val="both"/>
      </w:pPr>
      <w:r w:rsidRPr="00BC7AD6">
        <w:t>- страховая премия КАСКО, ОСАГО и т.д.;</w:t>
      </w:r>
    </w:p>
    <w:p w:rsidR="002037B4" w:rsidRPr="00BC7AD6" w:rsidRDefault="002037B4" w:rsidP="00375EB8">
      <w:pPr>
        <w:pStyle w:val="a6"/>
        <w:spacing w:before="0" w:beforeAutospacing="0" w:after="0" w:afterAutospacing="0"/>
        <w:jc w:val="both"/>
      </w:pPr>
      <w:r w:rsidRPr="00BC7AD6">
        <w:t>- плата за сертификат ключа ЭЦП;</w:t>
      </w:r>
    </w:p>
    <w:p w:rsidR="002037B4" w:rsidRPr="00BC7AD6" w:rsidRDefault="002037B4" w:rsidP="00375EB8">
      <w:pPr>
        <w:pStyle w:val="a6"/>
        <w:spacing w:before="0" w:beforeAutospacing="0" w:after="0" w:afterAutospacing="0"/>
        <w:jc w:val="both"/>
      </w:pPr>
      <w:r w:rsidRPr="00BC7AD6">
        <w:t>- плата за пользование неисключительными правами: сайтом, компьютерной программой, справочной системой.</w:t>
      </w:r>
    </w:p>
    <w:p w:rsidR="00E311EF" w:rsidRPr="00BC7AD6" w:rsidRDefault="0032352F" w:rsidP="00375EB8">
      <w:pPr>
        <w:pStyle w:val="a6"/>
        <w:spacing w:before="0" w:beforeAutospacing="0" w:after="0" w:afterAutospacing="0"/>
        <w:jc w:val="both"/>
      </w:pPr>
      <w:r w:rsidRPr="00BC7AD6">
        <w:t xml:space="preserve">- </w:t>
      </w:r>
      <w:r w:rsidR="00E311EF" w:rsidRPr="00BC7AD6">
        <w:t>Резерв по сомнительным долгам создается после проведения инвентаризации, при наличии решения комиссии учреждения по поступлению и выбытию активов, подтверждающее сомнительность долга. Величина резерва равна величине выявленной сомнительной задолженности.</w:t>
      </w:r>
    </w:p>
    <w:p w:rsidR="00987C50" w:rsidRPr="00BC7AD6" w:rsidRDefault="0032352F" w:rsidP="00375EB8">
      <w:pPr>
        <w:pStyle w:val="a6"/>
        <w:spacing w:before="0" w:beforeAutospacing="0" w:after="0" w:afterAutospacing="0"/>
        <w:jc w:val="both"/>
      </w:pPr>
      <w:r w:rsidRPr="00BC7AD6">
        <w:t xml:space="preserve">- </w:t>
      </w:r>
      <w:r w:rsidR="00987C50" w:rsidRPr="00BC7AD6">
        <w:t>Учет резерва предстоящих расходов на счете 401 60. С целью планирования и принятия управленческих решений, учреждение вправе создавать резерв предстоящих расходов по следующим обязательствам:</w:t>
      </w:r>
    </w:p>
    <w:p w:rsidR="00987C50" w:rsidRPr="00BC7AD6" w:rsidRDefault="00987C50" w:rsidP="00375EB8">
      <w:pPr>
        <w:pStyle w:val="a6"/>
        <w:spacing w:before="0" w:beforeAutospacing="0" w:after="0" w:afterAutospacing="0"/>
        <w:jc w:val="both"/>
      </w:pPr>
      <w:r w:rsidRPr="00BC7AD6">
        <w:t>- резерв на оплату отпусков;</w:t>
      </w:r>
    </w:p>
    <w:p w:rsidR="00987C50" w:rsidRPr="00BC7AD6" w:rsidRDefault="00987C50" w:rsidP="00375EB8">
      <w:pPr>
        <w:pStyle w:val="a6"/>
        <w:spacing w:before="0" w:beforeAutospacing="0" w:after="0" w:afterAutospacing="0"/>
        <w:jc w:val="both"/>
      </w:pPr>
      <w:r w:rsidRPr="00BC7AD6">
        <w:t>- резерв на планируемые организационно-штатные мероприятия;</w:t>
      </w:r>
    </w:p>
    <w:p w:rsidR="00987C50" w:rsidRPr="00BC7AD6" w:rsidRDefault="00987C50" w:rsidP="00375EB8">
      <w:pPr>
        <w:pStyle w:val="a6"/>
        <w:spacing w:before="0" w:beforeAutospacing="0" w:after="0" w:afterAutospacing="0"/>
        <w:jc w:val="both"/>
      </w:pPr>
      <w:r w:rsidRPr="00BC7AD6">
        <w:t>- резерв по претензиям поставщиков, подрядчиков, физических лиц;</w:t>
      </w:r>
    </w:p>
    <w:p w:rsidR="00987C50" w:rsidRPr="00BC7AD6" w:rsidRDefault="00987C50" w:rsidP="00375EB8">
      <w:pPr>
        <w:pStyle w:val="a6"/>
        <w:spacing w:before="0" w:beforeAutospacing="0" w:after="0" w:afterAutospacing="0"/>
        <w:jc w:val="both"/>
      </w:pPr>
      <w:r w:rsidRPr="00BC7AD6">
        <w:t>- резерв по обязательствам учреждения, по которым отсутствуют первичные документы.</w:t>
      </w:r>
    </w:p>
    <w:p w:rsidR="00987C50" w:rsidRPr="00BC7AD6" w:rsidRDefault="00987C50" w:rsidP="00375EB8">
      <w:pPr>
        <w:pStyle w:val="a6"/>
        <w:spacing w:before="0" w:beforeAutospacing="0" w:after="0" w:afterAutospacing="0"/>
        <w:jc w:val="both"/>
      </w:pPr>
      <w:r w:rsidRPr="00BC7AD6">
        <w:t xml:space="preserve">Резерв на оплату отпусков рассчитывается по отдельным категориям сотрудников (по источнику финансирования). 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сотрудникам на указанную дату, предоставленных кадровым работником. </w:t>
      </w:r>
    </w:p>
    <w:p w:rsidR="00987C50" w:rsidRPr="00BC7AD6" w:rsidRDefault="00987C50" w:rsidP="00375EB8">
      <w:pPr>
        <w:pStyle w:val="a6"/>
        <w:spacing w:before="0" w:beforeAutospacing="0" w:after="0" w:afterAutospacing="0"/>
        <w:jc w:val="both"/>
        <w:rPr>
          <w:i/>
        </w:rPr>
      </w:pPr>
      <w:r w:rsidRPr="00BC7AD6">
        <w:t xml:space="preserve">Пример расчета резерва отпуска – </w:t>
      </w:r>
      <w:r w:rsidRPr="00BC7AD6">
        <w:rPr>
          <w:i/>
        </w:rPr>
        <w:t>сумма отпускных начислений работников за год / количество оплаченных дней отпуска работников за год = среднедневной заработок работника для начисления отпускных. Среднедневной заработок * на количество дней резерва отпуска по состоянию на 31 декабря, предоставленных кадровым сотрудником= резерв отпуска (211 КОСГУ).</w:t>
      </w:r>
    </w:p>
    <w:p w:rsidR="00987C50" w:rsidRPr="00BC7AD6" w:rsidRDefault="00987C50" w:rsidP="00375EB8">
      <w:pPr>
        <w:pStyle w:val="a6"/>
        <w:spacing w:before="0" w:beforeAutospacing="0" w:after="0" w:afterAutospacing="0"/>
        <w:jc w:val="both"/>
      </w:pPr>
      <w:r w:rsidRPr="00BC7AD6">
        <w:t xml:space="preserve">Резерв на оплату страховых взносов рассчитывается с учетом методики расчета резерва на оплату отпусков. </w:t>
      </w:r>
    </w:p>
    <w:p w:rsidR="00987C50" w:rsidRPr="00BC7AD6" w:rsidRDefault="00987C50" w:rsidP="00375EB8">
      <w:pPr>
        <w:pStyle w:val="a6"/>
        <w:spacing w:before="0" w:beforeAutospacing="0" w:after="0" w:afterAutospacing="0"/>
        <w:jc w:val="both"/>
        <w:rPr>
          <w:i/>
        </w:rPr>
      </w:pPr>
      <w:r w:rsidRPr="00BC7AD6">
        <w:t xml:space="preserve">Формула расчета резерва страховых взносов – </w:t>
      </w:r>
      <w:r w:rsidRPr="00BC7AD6">
        <w:rPr>
          <w:i/>
        </w:rPr>
        <w:t>резерв отпуска по всем сотрудникам за год * на тариф страховых взносов (30,2%).</w:t>
      </w:r>
    </w:p>
    <w:p w:rsidR="00272150" w:rsidRPr="00BC7AD6" w:rsidRDefault="00987C50" w:rsidP="00375EB8">
      <w:pPr>
        <w:pStyle w:val="a6"/>
        <w:spacing w:before="0" w:beforeAutospacing="0" w:after="0" w:afterAutospacing="0"/>
        <w:jc w:val="both"/>
      </w:pPr>
      <w:r w:rsidRPr="00BC7AD6">
        <w:t>При инвентаризации перед составлением отчетности за третий квартал или за год, суммы резервов могут быть списаны или скорректированы (уточнены).</w:t>
      </w:r>
    </w:p>
    <w:p w:rsidR="0032352F" w:rsidRPr="00BC7AD6" w:rsidRDefault="0032352F" w:rsidP="00375EB8">
      <w:pPr>
        <w:pStyle w:val="a6"/>
        <w:spacing w:before="0" w:beforeAutospacing="0" w:after="0" w:afterAutospacing="0"/>
        <w:jc w:val="both"/>
      </w:pPr>
      <w:r w:rsidRPr="00BC7AD6">
        <w:t xml:space="preserve">- </w:t>
      </w:r>
      <w:r w:rsidR="003A60E9" w:rsidRPr="00BC7AD6">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61E9C" w:rsidRPr="00BC7AD6" w:rsidRDefault="00721E74" w:rsidP="00375EB8">
      <w:pPr>
        <w:pStyle w:val="a6"/>
        <w:spacing w:before="0" w:beforeAutospacing="0" w:after="0" w:afterAutospacing="0"/>
        <w:jc w:val="both"/>
        <w:rPr>
          <w:rFonts w:eastAsia="Times New Roman"/>
        </w:rPr>
      </w:pPr>
      <w:r w:rsidRPr="00BC7AD6">
        <w:rPr>
          <w:rFonts w:eastAsia="Times New Roman"/>
          <w:b/>
          <w:bCs/>
        </w:rPr>
        <w:t xml:space="preserve">6. Учет на </w:t>
      </w:r>
      <w:proofErr w:type="spellStart"/>
      <w:r w:rsidRPr="00BC7AD6">
        <w:rPr>
          <w:rFonts w:eastAsia="Times New Roman"/>
          <w:b/>
          <w:bCs/>
        </w:rPr>
        <w:t>забалансовых</w:t>
      </w:r>
      <w:proofErr w:type="spellEnd"/>
      <w:r w:rsidRPr="00BC7AD6">
        <w:rPr>
          <w:rFonts w:eastAsia="Times New Roman"/>
          <w:b/>
          <w:bCs/>
        </w:rPr>
        <w:t xml:space="preserve"> счетах</w:t>
      </w:r>
    </w:p>
    <w:p w:rsidR="0032352F" w:rsidRPr="00BC7AD6" w:rsidRDefault="0032352F" w:rsidP="00375EB8">
      <w:pPr>
        <w:pStyle w:val="a6"/>
        <w:spacing w:before="0" w:beforeAutospacing="0" w:after="0" w:afterAutospacing="0"/>
        <w:jc w:val="both"/>
      </w:pPr>
      <w:r w:rsidRPr="00BC7AD6">
        <w:t xml:space="preserve">- </w:t>
      </w:r>
      <w:r w:rsidR="00721E74" w:rsidRPr="00BC7AD6">
        <w:t xml:space="preserve"> При передаче в эксплуатацию (при списании с балансового учета) основных средств стоимостью до 3 000 руб. включительно (за исключением объектов недвижимости) в целях обеспечения сохранности этих объектов их аналитический учет ведется на отдельном </w:t>
      </w:r>
      <w:proofErr w:type="spellStart"/>
      <w:r w:rsidR="00721E74" w:rsidRPr="00BC7AD6">
        <w:t>забалансовом</w:t>
      </w:r>
      <w:proofErr w:type="spellEnd"/>
      <w:r w:rsidR="00721E74" w:rsidRPr="00BC7AD6">
        <w:t xml:space="preserve"> счете 21 «Основные средства стоимостью до 3 000 руб. включительно в </w:t>
      </w:r>
      <w:r w:rsidR="00721E74" w:rsidRPr="00BC7AD6">
        <w:lastRenderedPageBreak/>
        <w:t>эксплуатации» в карточках количественного учета материальных ценностей в условной оценке один объект – один рубль</w:t>
      </w:r>
    </w:p>
    <w:p w:rsidR="00261E9C" w:rsidRPr="00BC7AD6" w:rsidRDefault="0032352F" w:rsidP="00375EB8">
      <w:pPr>
        <w:pStyle w:val="a6"/>
        <w:spacing w:before="0" w:beforeAutospacing="0" w:after="0" w:afterAutospacing="0"/>
        <w:jc w:val="both"/>
      </w:pPr>
      <w:r w:rsidRPr="00BC7AD6">
        <w:t xml:space="preserve">- </w:t>
      </w:r>
      <w:r w:rsidR="00721E74" w:rsidRPr="00BC7AD6">
        <w:t xml:space="preserve"> Учет бланков строгой отчетности осуществляется на </w:t>
      </w:r>
      <w:proofErr w:type="spellStart"/>
      <w:r w:rsidR="00721E74" w:rsidRPr="00BC7AD6">
        <w:t>забалансовом</w:t>
      </w:r>
      <w:proofErr w:type="spellEnd"/>
      <w:r w:rsidR="00721E74" w:rsidRPr="00BC7AD6">
        <w:t xml:space="preserve"> счете 03 «Бланки строгой отчетности» в разрезе ответственных за их хранение и (или) выдачу лиц, мест хранения в условной оценке один объект – один рубль.</w:t>
      </w:r>
    </w:p>
    <w:p w:rsidR="00261E9C" w:rsidRPr="00BC7AD6" w:rsidRDefault="00721E74" w:rsidP="00375EB8">
      <w:pPr>
        <w:pStyle w:val="a6"/>
        <w:spacing w:before="0" w:beforeAutospacing="0" w:after="0" w:afterAutospacing="0"/>
        <w:jc w:val="both"/>
      </w:pPr>
      <w:r w:rsidRPr="00BC7AD6">
        <w:t xml:space="preserve">Перечень лиц, ответственных за хранение и выдачу бланков, утверждается приказом руководителя. Правила учета, хранения и уничтожения бланков строгой отчетности установлены </w:t>
      </w:r>
      <w:r w:rsidR="009D3781" w:rsidRPr="00BC7AD6">
        <w:t>в приложении № 11</w:t>
      </w:r>
      <w:r w:rsidRPr="00BC7AD6">
        <w:t>.</w:t>
      </w:r>
    </w:p>
    <w:p w:rsidR="00261E9C" w:rsidRPr="00BC7AD6" w:rsidRDefault="0032352F" w:rsidP="00375EB8">
      <w:pPr>
        <w:pStyle w:val="a6"/>
        <w:spacing w:before="0" w:beforeAutospacing="0" w:after="0" w:afterAutospacing="0"/>
        <w:jc w:val="both"/>
      </w:pPr>
      <w:r w:rsidRPr="00BC7AD6">
        <w:t xml:space="preserve">- </w:t>
      </w:r>
      <w:r w:rsidR="00721E74" w:rsidRPr="00BC7AD6">
        <w:t xml:space="preserve">Для учета материальных ценностей, выданных на транспортные средства взамен изношенных, в целях контроля за их использованием применяется счет 09 «Запасные части к транспортным средствам, выданные взамен изношенных». На данном счете учитываются следующие материальные ценности: запасные части и комплектующие к автомобилю независимо от стоимости. </w:t>
      </w:r>
    </w:p>
    <w:p w:rsidR="0032352F" w:rsidRPr="00BC7AD6" w:rsidRDefault="00721E74" w:rsidP="00375EB8">
      <w:pPr>
        <w:pStyle w:val="a6"/>
        <w:spacing w:before="0" w:beforeAutospacing="0" w:after="0" w:afterAutospacing="0"/>
        <w:jc w:val="both"/>
      </w:pPr>
      <w:r w:rsidRPr="00BC7AD6">
        <w:t>Аналитический учет по счету ведется в Карточке количественно-суммового учета в разрезе лиц, получивших материальные ценности, с указанием их должностей, фамилий, имен, отчеств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261E9C" w:rsidRPr="00BC7AD6" w:rsidRDefault="00375EB8" w:rsidP="00375EB8">
      <w:pPr>
        <w:pStyle w:val="a6"/>
        <w:spacing w:before="0" w:beforeAutospacing="0" w:after="0" w:afterAutospacing="0"/>
        <w:jc w:val="both"/>
        <w:rPr>
          <w:rFonts w:eastAsia="Times New Roman"/>
        </w:rPr>
      </w:pPr>
      <w:r w:rsidRPr="00BC7AD6">
        <w:rPr>
          <w:rFonts w:eastAsia="Times New Roman"/>
          <w:b/>
          <w:bCs/>
        </w:rPr>
        <w:t xml:space="preserve">7. </w:t>
      </w:r>
      <w:r w:rsidR="00721E74" w:rsidRPr="00BC7AD6">
        <w:rPr>
          <w:rFonts w:eastAsia="Times New Roman"/>
          <w:b/>
          <w:bCs/>
        </w:rPr>
        <w:t>Учетная политика учреждения в целях налогового учета.</w:t>
      </w:r>
    </w:p>
    <w:p w:rsidR="00F573FB" w:rsidRPr="00BC7AD6" w:rsidRDefault="00F573FB" w:rsidP="00BC7AD6">
      <w:pPr>
        <w:spacing w:line="276" w:lineRule="auto"/>
        <w:jc w:val="both"/>
        <w:rPr>
          <w:rFonts w:eastAsia="Calibri"/>
          <w:lang w:eastAsia="en-US"/>
        </w:rPr>
      </w:pPr>
      <w:r w:rsidRPr="00BC7AD6">
        <w:rPr>
          <w:rFonts w:eastAsia="Calibri"/>
          <w:lang w:eastAsia="en-US"/>
        </w:rPr>
        <w:t>Основным исто</w:t>
      </w:r>
      <w:r w:rsidR="004254B9" w:rsidRPr="00BC7AD6">
        <w:rPr>
          <w:rFonts w:eastAsia="Calibri"/>
          <w:lang w:eastAsia="en-US"/>
        </w:rPr>
        <w:t xml:space="preserve">чником финансового обеспечения </w:t>
      </w:r>
      <w:r w:rsidRPr="00BC7AD6">
        <w:rPr>
          <w:rFonts w:eastAsia="Calibri"/>
          <w:lang w:eastAsia="en-US"/>
        </w:rPr>
        <w:t xml:space="preserve">учреждения являются средства, полученные в виде лимитов бюджетных обязательств. </w:t>
      </w:r>
    </w:p>
    <w:p w:rsidR="00F573FB" w:rsidRPr="00BC7AD6" w:rsidRDefault="00F573FB" w:rsidP="00BC7AD6">
      <w:pPr>
        <w:spacing w:line="276" w:lineRule="auto"/>
        <w:jc w:val="both"/>
        <w:rPr>
          <w:rFonts w:eastAsia="Calibri"/>
          <w:lang w:eastAsia="en-US"/>
        </w:rPr>
      </w:pPr>
      <w:r w:rsidRPr="00BC7AD6">
        <w:rPr>
          <w:rFonts w:eastAsia="Calibri"/>
          <w:lang w:eastAsia="en-US"/>
        </w:rPr>
        <w:t>Поскольку лимиты бюджетных обязательств относятся к средствам целевого финансирования то их не включать в состав доходов, формирующих налоговую базу по налогу на прибыль (</w:t>
      </w:r>
      <w:proofErr w:type="spellStart"/>
      <w:r w:rsidRPr="00BC7AD6">
        <w:rPr>
          <w:rFonts w:eastAsia="Calibri"/>
          <w:lang w:eastAsia="en-US"/>
        </w:rPr>
        <w:t>п.п</w:t>
      </w:r>
      <w:proofErr w:type="spellEnd"/>
      <w:r w:rsidRPr="00BC7AD6">
        <w:rPr>
          <w:rFonts w:eastAsia="Calibri"/>
          <w:lang w:eastAsia="en-US"/>
        </w:rPr>
        <w:t>. 14 п. 1 ст. 251 НК РФ).</w:t>
      </w:r>
    </w:p>
    <w:p w:rsidR="00F573FB" w:rsidRPr="00BC7AD6" w:rsidRDefault="00F573FB" w:rsidP="00BC7AD6">
      <w:pPr>
        <w:spacing w:line="276" w:lineRule="auto"/>
        <w:jc w:val="both"/>
        <w:rPr>
          <w:rFonts w:eastAsia="Calibri"/>
          <w:lang w:eastAsia="en-US"/>
        </w:rPr>
      </w:pPr>
      <w:r w:rsidRPr="00BC7AD6">
        <w:rPr>
          <w:rFonts w:eastAsia="Calibri"/>
          <w:lang w:eastAsia="en-US"/>
        </w:rPr>
        <w:t>Доходы от платных услуг, сдачи имущества в аренду зачислять в доход соответствующего бюджета по нормативу 100</w:t>
      </w:r>
      <w:proofErr w:type="gramStart"/>
      <w:r w:rsidRPr="00BC7AD6">
        <w:rPr>
          <w:rFonts w:eastAsia="Calibri"/>
          <w:lang w:eastAsia="en-US"/>
        </w:rPr>
        <w:t>%.(</w:t>
      </w:r>
      <w:proofErr w:type="gramEnd"/>
      <w:r w:rsidRPr="00BC7AD6">
        <w:rPr>
          <w:rFonts w:eastAsia="Calibri"/>
          <w:lang w:eastAsia="en-US"/>
        </w:rPr>
        <w:t xml:space="preserve"> Ст. 51 Бюджетного кодекса РФ).</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Вести раздельный учет доходов и расходов, получаемых ими в рамках бюджетного финансирования и не учитываемых при определении налоговой базы по налогу на прибыль </w:t>
      </w:r>
    </w:p>
    <w:p w:rsidR="0032352F" w:rsidRPr="00BC7AD6" w:rsidRDefault="00F573FB" w:rsidP="00BC7AD6">
      <w:pPr>
        <w:spacing w:line="276" w:lineRule="auto"/>
        <w:jc w:val="both"/>
        <w:rPr>
          <w:rFonts w:eastAsia="Calibri"/>
          <w:lang w:eastAsia="en-US"/>
        </w:rPr>
      </w:pPr>
      <w:r w:rsidRPr="00BC7AD6">
        <w:rPr>
          <w:rFonts w:eastAsia="Calibri"/>
          <w:lang w:eastAsia="en-US"/>
        </w:rPr>
        <w:t>Основание: Письмо Минфина от 31.01.2011 № 03-03-06/4/3.</w:t>
      </w:r>
    </w:p>
    <w:p w:rsidR="00F573FB" w:rsidRPr="00BC7AD6" w:rsidRDefault="00F573FB" w:rsidP="00BC7AD6">
      <w:pPr>
        <w:spacing w:line="276" w:lineRule="auto"/>
        <w:jc w:val="both"/>
        <w:rPr>
          <w:rFonts w:eastAsia="Calibri"/>
          <w:b/>
          <w:lang w:eastAsia="en-US"/>
        </w:rPr>
      </w:pPr>
      <w:r w:rsidRPr="00BC7AD6">
        <w:rPr>
          <w:rFonts w:eastAsia="Calibri"/>
          <w:b/>
          <w:lang w:eastAsia="en-US"/>
        </w:rPr>
        <w:t xml:space="preserve"> Налог на добавленную стоимость</w:t>
      </w:r>
    </w:p>
    <w:p w:rsidR="00F573FB" w:rsidRPr="00BC7AD6" w:rsidRDefault="00F573FB" w:rsidP="00BC7AD6">
      <w:pPr>
        <w:spacing w:line="276" w:lineRule="auto"/>
        <w:jc w:val="both"/>
        <w:rPr>
          <w:rFonts w:eastAsia="Calibri"/>
          <w:lang w:eastAsia="en-US"/>
        </w:rPr>
      </w:pPr>
      <w:r w:rsidRPr="00BC7AD6">
        <w:rPr>
          <w:rFonts w:eastAsia="Calibri"/>
          <w:lang w:eastAsia="en-US"/>
        </w:rPr>
        <w:t>Использовать освобождение от исполнения обязанностей налогоплательщика НДС согласно статье 145 НК РФ.</w:t>
      </w:r>
    </w:p>
    <w:p w:rsidR="0032352F" w:rsidRPr="00BC7AD6" w:rsidRDefault="00F573FB" w:rsidP="00BC7AD6">
      <w:pPr>
        <w:spacing w:line="276" w:lineRule="auto"/>
        <w:jc w:val="both"/>
        <w:rPr>
          <w:rFonts w:eastAsia="Calibri"/>
          <w:lang w:eastAsia="en-US"/>
        </w:rPr>
      </w:pPr>
      <w:r w:rsidRPr="00BC7AD6">
        <w:rPr>
          <w:rFonts w:eastAsia="Calibri"/>
          <w:lang w:eastAsia="en-US"/>
        </w:rPr>
        <w:t>Начислять НДС в случае реализации нефинансовых активов учреждения.</w:t>
      </w:r>
    </w:p>
    <w:p w:rsidR="00F573FB" w:rsidRPr="00BC7AD6" w:rsidRDefault="00F573FB" w:rsidP="00BC7AD6">
      <w:pPr>
        <w:spacing w:line="276" w:lineRule="auto"/>
        <w:jc w:val="both"/>
        <w:rPr>
          <w:rFonts w:eastAsia="Calibri"/>
          <w:b/>
          <w:lang w:eastAsia="en-US"/>
        </w:rPr>
      </w:pPr>
      <w:r w:rsidRPr="00BC7AD6">
        <w:rPr>
          <w:rFonts w:eastAsia="Calibri"/>
          <w:b/>
          <w:lang w:eastAsia="en-US"/>
        </w:rPr>
        <w:t>Транспортный налог</w:t>
      </w:r>
    </w:p>
    <w:p w:rsidR="00F573FB" w:rsidRPr="00BC7AD6" w:rsidRDefault="00F573FB" w:rsidP="00BC7AD6">
      <w:pPr>
        <w:spacing w:line="276" w:lineRule="auto"/>
        <w:jc w:val="both"/>
        <w:rPr>
          <w:rFonts w:eastAsia="Calibri"/>
          <w:lang w:eastAsia="en-US"/>
        </w:rPr>
      </w:pPr>
      <w:r w:rsidRPr="00BC7AD6">
        <w:rPr>
          <w:rFonts w:eastAsia="Calibri"/>
          <w:lang w:eastAsia="en-US"/>
        </w:rPr>
        <w:t>В соответствии с главой 28 Налогового кодекса РФ «Транспортный налог» и региональным Законом «О транспортном налоге» формировать налогооблагаемую базу исходя из наличия всех транспортных средств, зарегистрированных как имущество Учреждения.</w:t>
      </w:r>
    </w:p>
    <w:p w:rsidR="00F573FB" w:rsidRPr="00BC7AD6" w:rsidRDefault="00F573FB" w:rsidP="00BC7AD6">
      <w:pPr>
        <w:spacing w:line="276" w:lineRule="auto"/>
        <w:jc w:val="both"/>
        <w:rPr>
          <w:rFonts w:eastAsia="Calibri"/>
          <w:lang w:eastAsia="en-US"/>
        </w:rPr>
      </w:pPr>
      <w:r w:rsidRPr="00BC7AD6">
        <w:rPr>
          <w:rFonts w:eastAsia="Calibri"/>
          <w:lang w:eastAsia="en-US"/>
        </w:rPr>
        <w:t>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F573FB" w:rsidRPr="00BC7AD6" w:rsidRDefault="00F573FB" w:rsidP="00BC7AD6">
      <w:pPr>
        <w:spacing w:line="276" w:lineRule="auto"/>
        <w:jc w:val="both"/>
      </w:pPr>
      <w:r w:rsidRPr="00BC7AD6">
        <w:rPr>
          <w:rFonts w:eastAsia="Calibri"/>
          <w:lang w:eastAsia="en-US"/>
        </w:rPr>
        <w:t>При расчете налога для дорогих автомобилей учитывать повышающий коэффициент согласно п. 2 ст. 362 НК РФ в редакции Федерального закона 23.07.2013 № 214-ФЗ</w:t>
      </w:r>
    </w:p>
    <w:p w:rsidR="00F573FB" w:rsidRPr="00BC7AD6" w:rsidRDefault="00F573FB" w:rsidP="00375EB8">
      <w:pPr>
        <w:pStyle w:val="2"/>
        <w:keepNext/>
        <w:spacing w:before="0" w:beforeAutospacing="0" w:after="0" w:afterAutospacing="0" w:line="240" w:lineRule="auto"/>
        <w:rPr>
          <w:sz w:val="24"/>
          <w:szCs w:val="24"/>
        </w:rPr>
      </w:pPr>
      <w:bookmarkStart w:id="1" w:name="_Toc316377933"/>
      <w:r w:rsidRPr="00BC7AD6">
        <w:rPr>
          <w:b/>
          <w:sz w:val="24"/>
          <w:szCs w:val="24"/>
        </w:rPr>
        <w:t>Налог на имущество</w:t>
      </w:r>
      <w:bookmarkEnd w:id="1"/>
    </w:p>
    <w:p w:rsidR="00F573FB" w:rsidRPr="00BC7AD6" w:rsidRDefault="00F573FB"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 xml:space="preserve">В соответствии с главой 30 НК РФ «Налог на имущество организаций» формировать налогооблагаемую базу по налогу на имущество согласно статьям 374, 375 п.1, 376 НК РФ. Движимое имущество, принятое на учет с 01.01.2013 г. </w:t>
      </w:r>
      <w:proofErr w:type="gramStart"/>
      <w:r w:rsidRPr="00BC7AD6">
        <w:t>налогом</w:t>
      </w:r>
      <w:proofErr w:type="gramEnd"/>
      <w:r w:rsidRPr="00BC7AD6">
        <w:t xml:space="preserve"> не облагается (пп.8 п.4 ст. 374 НК РФ).  </w:t>
      </w:r>
    </w:p>
    <w:p w:rsidR="00F573FB" w:rsidRPr="00BC7AD6" w:rsidRDefault="00F573FB"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 xml:space="preserve">Согласно пп.8 п.4 ст.374 НК РФ, </w:t>
      </w:r>
      <w:r w:rsidRPr="00BC7AD6">
        <w:rPr>
          <w:b/>
        </w:rPr>
        <w:t>не</w:t>
      </w:r>
      <w:r w:rsidRPr="00BC7AD6">
        <w:t xml:space="preserve"> являются объектами обложения налогом на имущество объекты основных средств, включенные в первую или во вторую амортизационную группу в соответствии с Классификацией основных средств. </w:t>
      </w:r>
    </w:p>
    <w:p w:rsidR="00F573FB" w:rsidRPr="00BC7AD6" w:rsidRDefault="00F573FB"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Налоговую ставку применять в соответствии с законодательством региона.</w:t>
      </w:r>
    </w:p>
    <w:p w:rsidR="0032352F" w:rsidRPr="00BC7AD6" w:rsidRDefault="00F573FB"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lastRenderedPageBreak/>
        <w:t xml:space="preserve">Уплачивать налог и авансовые платежи по налогу на имущество в региональный бюджет по местонахождению недвижимого имущества Учреждения в порядке и сроки, предусмотренные статьей 383 НК РФ. </w:t>
      </w:r>
      <w:bookmarkStart w:id="2" w:name="_Toc316377934"/>
    </w:p>
    <w:p w:rsidR="00F573FB" w:rsidRPr="00BC7AD6" w:rsidRDefault="00F573FB"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sidRPr="00BC7AD6">
        <w:rPr>
          <w:b/>
        </w:rPr>
        <w:t>Земельный налог</w:t>
      </w:r>
      <w:bookmarkEnd w:id="2"/>
    </w:p>
    <w:p w:rsidR="0032352F" w:rsidRPr="00BC7AD6" w:rsidRDefault="00F573FB"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lang w:eastAsia="en-US"/>
        </w:rPr>
      </w:pPr>
      <w:r w:rsidRPr="00BC7AD6">
        <w:t xml:space="preserve">В соответствии с главой 31 НК РФ «Земельный налог» формировать налогооблагаемую базу по земельному налогу согласно статьям 389, 390, 391 НК </w:t>
      </w:r>
      <w:proofErr w:type="gramStart"/>
      <w:r w:rsidRPr="00BC7AD6">
        <w:t>РФ.</w:t>
      </w:r>
      <w:r w:rsidR="00197EA4" w:rsidRPr="00BC7AD6">
        <w:t>,</w:t>
      </w:r>
      <w:proofErr w:type="gramEnd"/>
      <w:r w:rsidR="00197EA4" w:rsidRPr="00BC7AD6">
        <w:t xml:space="preserve"> согласно Постановлениям РС (Я), АМО «Мирнинский район».</w:t>
      </w:r>
      <w:r w:rsidR="0032352F" w:rsidRPr="00BC7AD6">
        <w:rPr>
          <w:rFonts w:eastAsia="Calibri"/>
          <w:lang w:eastAsia="en-US"/>
        </w:rPr>
        <w:t xml:space="preserve"> Использовать освобождение от исполнения обязанностей налогоплательщика согласно НК.</w:t>
      </w:r>
    </w:p>
    <w:p w:rsidR="00F573FB" w:rsidRPr="00BC7AD6" w:rsidRDefault="00F573FB"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b/>
          <w:lang w:eastAsia="en-US"/>
        </w:rPr>
      </w:pPr>
      <w:r w:rsidRPr="00BC7AD6">
        <w:rPr>
          <w:rFonts w:eastAsia="Calibri"/>
          <w:b/>
          <w:lang w:eastAsia="en-US"/>
        </w:rPr>
        <w:t>Страховые взносы в фонды.</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Согласно ФЗ от 2 декабря </w:t>
      </w:r>
      <w:smartTag w:uri="urn:schemas-microsoft-com:office:smarttags" w:element="metricconverter">
        <w:smartTagPr>
          <w:attr w:name="ProductID" w:val="2013 г"/>
        </w:smartTagPr>
        <w:r w:rsidRPr="00BC7AD6">
          <w:rPr>
            <w:rFonts w:eastAsia="Calibri"/>
            <w:lang w:eastAsia="en-US"/>
          </w:rPr>
          <w:t>2013 г</w:t>
        </w:r>
      </w:smartTag>
      <w:r w:rsidRPr="00BC7AD6">
        <w:rPr>
          <w:rFonts w:eastAsia="Calibri"/>
          <w:lang w:eastAsia="en-US"/>
        </w:rPr>
        <w:t xml:space="preserve">. № 331-ФЗ и постановления Правительства РФ от 30 ноября </w:t>
      </w:r>
      <w:smartTag w:uri="urn:schemas-microsoft-com:office:smarttags" w:element="metricconverter">
        <w:smartTagPr>
          <w:attr w:name="ProductID" w:val="2013 г"/>
        </w:smartTagPr>
        <w:r w:rsidRPr="00BC7AD6">
          <w:rPr>
            <w:rFonts w:eastAsia="Calibri"/>
            <w:lang w:eastAsia="en-US"/>
          </w:rPr>
          <w:t>2013 г</w:t>
        </w:r>
      </w:smartTag>
      <w:r w:rsidRPr="00BC7AD6">
        <w:rPr>
          <w:rFonts w:eastAsia="Calibri"/>
          <w:lang w:eastAsia="en-US"/>
        </w:rPr>
        <w:t>. № 1101 страховые взносов во внебюджетные фонды начисляются в размере 30% в границах предельной величины базы для начисления страховых взносов и в размере 10% – в бюджет ПФР сверх предельной величины.</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В соответствии с положениями ст.58.2 закона №212-ФЗ (а </w:t>
      </w:r>
      <w:proofErr w:type="gramStart"/>
      <w:r w:rsidRPr="00BC7AD6">
        <w:rPr>
          <w:rFonts w:eastAsia="Calibri"/>
          <w:lang w:eastAsia="en-US"/>
        </w:rPr>
        <w:t>так же</w:t>
      </w:r>
      <w:proofErr w:type="gramEnd"/>
      <w:r w:rsidRPr="00BC7AD6">
        <w:rPr>
          <w:rFonts w:eastAsia="Calibri"/>
          <w:lang w:eastAsia="en-US"/>
        </w:rPr>
        <w:t xml:space="preserve"> - ст.33.1 закона №167-ФЗ), применяются следующие тарифы страховых взносов, в пределах установленной предельной величины базы для начисления страховых взносов:</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  - ПФР – 22%.</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 - ФСС РФ - 2,9%.</w:t>
      </w:r>
    </w:p>
    <w:p w:rsidR="00F573FB" w:rsidRPr="00BC7AD6" w:rsidRDefault="00F573FB" w:rsidP="00BC7AD6">
      <w:pPr>
        <w:spacing w:line="276" w:lineRule="auto"/>
        <w:jc w:val="both"/>
        <w:rPr>
          <w:rFonts w:eastAsia="Calibri"/>
          <w:lang w:eastAsia="en-US"/>
        </w:rPr>
      </w:pPr>
      <w:r w:rsidRPr="00BC7AD6">
        <w:rPr>
          <w:rFonts w:eastAsia="Calibri"/>
          <w:lang w:eastAsia="en-US"/>
        </w:rPr>
        <w:t>- ФФОМС - 5,1%.</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 – 0,2% в части расчетов по страховым взносам на обязательное социальное страхование от несчастных случаев на производстве и профессиональных заболеваний.</w:t>
      </w:r>
    </w:p>
    <w:p w:rsidR="00F573FB" w:rsidRPr="00BC7AD6" w:rsidRDefault="00F573FB" w:rsidP="00BC7AD6">
      <w:pPr>
        <w:spacing w:line="276" w:lineRule="auto"/>
        <w:jc w:val="both"/>
        <w:rPr>
          <w:rFonts w:eastAsia="Calibri"/>
          <w:lang w:eastAsia="en-US"/>
        </w:rPr>
      </w:pPr>
      <w:r w:rsidRPr="00BC7AD6">
        <w:rPr>
          <w:rFonts w:eastAsia="Calibri"/>
          <w:lang w:eastAsia="en-US"/>
        </w:rPr>
        <w:t>Страховые взносы уплачиваются по тарифу, установленному для граждан РФ на финансирование страховой части трудовой пенсии, независимо от года рождения.</w:t>
      </w:r>
    </w:p>
    <w:p w:rsidR="00F573FB" w:rsidRPr="00BC7AD6" w:rsidRDefault="00F573FB" w:rsidP="00BC7AD6">
      <w:pPr>
        <w:spacing w:line="276" w:lineRule="auto"/>
        <w:jc w:val="both"/>
        <w:rPr>
          <w:rFonts w:eastAsia="Calibri"/>
          <w:lang w:eastAsia="en-US"/>
        </w:rPr>
      </w:pPr>
      <w:r w:rsidRPr="00BC7AD6">
        <w:rPr>
          <w:rFonts w:eastAsia="Calibri"/>
          <w:lang w:eastAsia="en-US"/>
        </w:rPr>
        <w:t>Свыше установленной предельной величины базы для начисления страховых взносов применяются следующие страховые тарифы:</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     ПФР – 10%.</w:t>
      </w:r>
    </w:p>
    <w:p w:rsidR="00F573FB" w:rsidRPr="00BC7AD6" w:rsidRDefault="00F573FB" w:rsidP="00BC7AD6">
      <w:pPr>
        <w:spacing w:line="276" w:lineRule="auto"/>
        <w:jc w:val="both"/>
        <w:rPr>
          <w:rFonts w:eastAsia="Calibri"/>
          <w:lang w:eastAsia="en-US"/>
        </w:rPr>
      </w:pPr>
      <w:r w:rsidRPr="00BC7AD6">
        <w:rPr>
          <w:rFonts w:eastAsia="Calibri"/>
          <w:lang w:eastAsia="en-US"/>
        </w:rPr>
        <w:t xml:space="preserve">    ФСС РФ - 0%.</w:t>
      </w:r>
    </w:p>
    <w:p w:rsidR="00C955DF" w:rsidRPr="00BC7AD6" w:rsidRDefault="00F573FB" w:rsidP="00BC7AD6">
      <w:pPr>
        <w:spacing w:line="276" w:lineRule="auto"/>
        <w:jc w:val="both"/>
        <w:rPr>
          <w:b/>
        </w:rPr>
      </w:pPr>
      <w:r w:rsidRPr="00BC7AD6">
        <w:rPr>
          <w:rFonts w:eastAsia="Calibri"/>
          <w:lang w:eastAsia="en-US"/>
        </w:rPr>
        <w:t xml:space="preserve">    ФФОМС - 0%.</w:t>
      </w:r>
      <w:r w:rsidR="00721E74" w:rsidRPr="00BC7AD6">
        <w:br/>
      </w:r>
      <w:bookmarkStart w:id="3" w:name="_Toc316377935"/>
      <w:r w:rsidR="00375EB8" w:rsidRPr="00BC7AD6">
        <w:rPr>
          <w:b/>
        </w:rPr>
        <w:t xml:space="preserve">8. </w:t>
      </w:r>
      <w:r w:rsidR="00C955DF" w:rsidRPr="00BC7AD6">
        <w:rPr>
          <w:b/>
        </w:rPr>
        <w:t>ЗАКЛЮЧИТЕЛЬНЫЕ ПОЛОЖЕНИЯ</w:t>
      </w:r>
      <w:bookmarkEnd w:id="3"/>
    </w:p>
    <w:p w:rsidR="00C955DF" w:rsidRPr="00BC7AD6" w:rsidRDefault="00C955DF"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Изменения в приказ об учетной политике в части организации бухгалтерского учета и в целях налогообложения учреждения вносить на основании статьи 8 Закона от 06 декабря 2011 г. № 402-ФЗ только в двух случаях:</w:t>
      </w:r>
    </w:p>
    <w:p w:rsidR="00C955DF" w:rsidRPr="00BC7AD6" w:rsidRDefault="00C955DF"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1) при изменении применяемых методов учета</w:t>
      </w:r>
      <w:r w:rsidR="0032352F" w:rsidRPr="00BC7AD6">
        <w:t xml:space="preserve"> и введении</w:t>
      </w:r>
      <w:r w:rsidR="00375EB8" w:rsidRPr="00BC7AD6">
        <w:t xml:space="preserve"> федеральных стандартов</w:t>
      </w:r>
      <w:r w:rsidRPr="00BC7AD6">
        <w:t>;</w:t>
      </w:r>
    </w:p>
    <w:p w:rsidR="00C955DF" w:rsidRPr="00BC7AD6" w:rsidRDefault="00C955DF"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2) при изменении законодательства о налогах и сборах.</w:t>
      </w:r>
    </w:p>
    <w:p w:rsidR="00375EB8" w:rsidRPr="00BC7AD6" w:rsidRDefault="00C955DF"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В первом случае изменения в учетную политику для целей налогообложения принимаются с начала нового налогового периода (со следующего года). Во втором случае – не ранее момента вступления в силу указанных изменений.</w:t>
      </w:r>
    </w:p>
    <w:p w:rsidR="00261E9C" w:rsidRPr="00BC7AD6" w:rsidRDefault="00375EB8"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rPr>
      </w:pPr>
      <w:r w:rsidRPr="00BC7AD6">
        <w:rPr>
          <w:b/>
        </w:rPr>
        <w:t>Приложения к учетной политике:</w:t>
      </w:r>
      <w:r w:rsidR="00721E74" w:rsidRPr="00BC7AD6">
        <w:rPr>
          <w:b/>
          <w:color w:val="000000"/>
        </w:rPr>
        <w:t xml:space="preserve"> </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rPr>
          <w:color w:val="000000"/>
        </w:rPr>
        <w:t>План счетов</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rPr>
          <w:color w:val="000000"/>
        </w:rPr>
        <w:t>График документооборота</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rPr>
          <w:color w:val="000000"/>
        </w:rPr>
        <w:t>Перечень отчетности</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rPr>
          <w:color w:val="000000"/>
        </w:rPr>
        <w:t>Положение о внутреннем финансовом контроле</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rPr>
          <w:color w:val="000000"/>
        </w:rPr>
        <w:t>Положение об инвентаризации имущества</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Положение о комиссии по поступлению и выбытию активов</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 xml:space="preserve">Положение о выдаче </w:t>
      </w:r>
      <w:proofErr w:type="spellStart"/>
      <w:r w:rsidRPr="00BC7AD6">
        <w:t>ден</w:t>
      </w:r>
      <w:proofErr w:type="spellEnd"/>
      <w:r w:rsidRPr="00BC7AD6">
        <w:t xml:space="preserve"> </w:t>
      </w:r>
      <w:proofErr w:type="gramStart"/>
      <w:r w:rsidRPr="00BC7AD6">
        <w:t>ср-в в</w:t>
      </w:r>
      <w:proofErr w:type="gramEnd"/>
      <w:r w:rsidRPr="00BC7AD6">
        <w:t xml:space="preserve"> подотчет</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Положение о принятии денежных обязательств</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Положение о командировочных расходах</w:t>
      </w:r>
    </w:p>
    <w:p w:rsidR="00375EB8" w:rsidRPr="00BC7AD6" w:rsidRDefault="00375EB8" w:rsidP="00375EB8">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C7AD6">
        <w:t>Положение об использовании корпоративной сотовой связи</w:t>
      </w:r>
    </w:p>
    <w:p w:rsidR="00375EB8" w:rsidRPr="00BC7AD6" w:rsidRDefault="00375EB8" w:rsidP="00375EB8">
      <w:pPr>
        <w:pStyle w:val="ab"/>
        <w:numPr>
          <w:ilvl w:val="1"/>
          <w:numId w:val="14"/>
        </w:numPr>
      </w:pPr>
      <w:r w:rsidRPr="00BC7AD6">
        <w:t>Правила учета, хранения и уничтожения бланков строгой отчетности</w:t>
      </w:r>
    </w:p>
    <w:p w:rsidR="00375EB8" w:rsidRPr="00375EB8" w:rsidRDefault="00375EB8" w:rsidP="00375EB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0"/>
        <w:jc w:val="both"/>
        <w:rPr>
          <w:b/>
          <w:sz w:val="20"/>
          <w:szCs w:val="20"/>
        </w:rPr>
      </w:pPr>
    </w:p>
    <w:sectPr w:rsidR="00375EB8" w:rsidRPr="00375EB8">
      <w:pgSz w:w="11906" w:h="16838"/>
      <w:pgMar w:top="54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565"/>
    <w:multiLevelType w:val="multilevel"/>
    <w:tmpl w:val="F8E88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7DFD"/>
    <w:multiLevelType w:val="multilevel"/>
    <w:tmpl w:val="513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90436"/>
    <w:multiLevelType w:val="multilevel"/>
    <w:tmpl w:val="6CC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313AC"/>
    <w:multiLevelType w:val="multilevel"/>
    <w:tmpl w:val="35BA69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51"/>
        </w:tabs>
        <w:ind w:left="3551" w:hanging="432"/>
      </w:pPr>
      <w:rPr>
        <w:rFonts w:hint="default"/>
      </w:rPr>
    </w:lvl>
    <w:lvl w:ilvl="2">
      <w:start w:val="1"/>
      <w:numFmt w:val="decimal"/>
      <w:lvlText w:val="%1.%2.%3."/>
      <w:lvlJc w:val="left"/>
      <w:pPr>
        <w:tabs>
          <w:tab w:val="num" w:pos="1724"/>
        </w:tabs>
        <w:ind w:left="1508"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F74D3D"/>
    <w:multiLevelType w:val="multilevel"/>
    <w:tmpl w:val="AB4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E6810"/>
    <w:multiLevelType w:val="multilevel"/>
    <w:tmpl w:val="FF52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BF126D"/>
    <w:multiLevelType w:val="multilevel"/>
    <w:tmpl w:val="06FE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15353"/>
    <w:multiLevelType w:val="multilevel"/>
    <w:tmpl w:val="AAE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C2BA9"/>
    <w:multiLevelType w:val="multilevel"/>
    <w:tmpl w:val="67B2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B5EF3"/>
    <w:multiLevelType w:val="multilevel"/>
    <w:tmpl w:val="991AF3D0"/>
    <w:lvl w:ilvl="0">
      <w:start w:val="1"/>
      <w:numFmt w:val="decimal"/>
      <w:lvlText w:val="%1."/>
      <w:lvlJc w:val="left"/>
      <w:pPr>
        <w:tabs>
          <w:tab w:val="num" w:pos="1758"/>
        </w:tabs>
        <w:ind w:left="0" w:firstLine="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28F7BEF"/>
    <w:multiLevelType w:val="multilevel"/>
    <w:tmpl w:val="C4A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E06EA"/>
    <w:multiLevelType w:val="multilevel"/>
    <w:tmpl w:val="D784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80CF8"/>
    <w:multiLevelType w:val="multilevel"/>
    <w:tmpl w:val="7968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35860"/>
    <w:multiLevelType w:val="multilevel"/>
    <w:tmpl w:val="4EE0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5434E"/>
    <w:multiLevelType w:val="multilevel"/>
    <w:tmpl w:val="757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61C45"/>
    <w:multiLevelType w:val="multilevel"/>
    <w:tmpl w:val="95C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A247E"/>
    <w:multiLevelType w:val="multilevel"/>
    <w:tmpl w:val="6A6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7"/>
  </w:num>
  <w:num w:numId="4">
    <w:abstractNumId w:val="4"/>
  </w:num>
  <w:num w:numId="5">
    <w:abstractNumId w:val="16"/>
  </w:num>
  <w:num w:numId="6">
    <w:abstractNumId w:val="9"/>
  </w:num>
  <w:num w:numId="7">
    <w:abstractNumId w:val="2"/>
  </w:num>
  <w:num w:numId="8">
    <w:abstractNumId w:val="12"/>
  </w:num>
  <w:num w:numId="9">
    <w:abstractNumId w:val="15"/>
  </w:num>
  <w:num w:numId="10">
    <w:abstractNumId w:val="13"/>
  </w:num>
  <w:num w:numId="11">
    <w:abstractNumId w:val="8"/>
  </w:num>
  <w:num w:numId="12">
    <w:abstractNumId w:val="14"/>
  </w:num>
  <w:num w:numId="13">
    <w:abstractNumId w:val="5"/>
  </w:num>
  <w:num w:numId="14">
    <w:abstractNumId w:val="0"/>
  </w:num>
  <w:num w:numId="15">
    <w:abstractNumId w:val="11"/>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74"/>
    <w:rsid w:val="000166FE"/>
    <w:rsid w:val="000648B0"/>
    <w:rsid w:val="0007244E"/>
    <w:rsid w:val="000A7DDF"/>
    <w:rsid w:val="000C5453"/>
    <w:rsid w:val="000E0C67"/>
    <w:rsid w:val="001740C6"/>
    <w:rsid w:val="00197EA4"/>
    <w:rsid w:val="002037B4"/>
    <w:rsid w:val="00245CA0"/>
    <w:rsid w:val="00261E9C"/>
    <w:rsid w:val="00272150"/>
    <w:rsid w:val="00294BA9"/>
    <w:rsid w:val="002A6BF5"/>
    <w:rsid w:val="0032352F"/>
    <w:rsid w:val="00375EB8"/>
    <w:rsid w:val="003A459A"/>
    <w:rsid w:val="003A60E9"/>
    <w:rsid w:val="003C435F"/>
    <w:rsid w:val="004254B9"/>
    <w:rsid w:val="00456544"/>
    <w:rsid w:val="0046406A"/>
    <w:rsid w:val="004B1C71"/>
    <w:rsid w:val="004C745E"/>
    <w:rsid w:val="00520BC7"/>
    <w:rsid w:val="00530FA8"/>
    <w:rsid w:val="00553E71"/>
    <w:rsid w:val="005577B6"/>
    <w:rsid w:val="0057535B"/>
    <w:rsid w:val="00593795"/>
    <w:rsid w:val="00596714"/>
    <w:rsid w:val="005D0071"/>
    <w:rsid w:val="006019A8"/>
    <w:rsid w:val="006560AA"/>
    <w:rsid w:val="00682DA3"/>
    <w:rsid w:val="006D55B1"/>
    <w:rsid w:val="00721E74"/>
    <w:rsid w:val="007B3155"/>
    <w:rsid w:val="007C2C48"/>
    <w:rsid w:val="007D022C"/>
    <w:rsid w:val="007F4E63"/>
    <w:rsid w:val="008B1628"/>
    <w:rsid w:val="008E0B47"/>
    <w:rsid w:val="00925247"/>
    <w:rsid w:val="00987C50"/>
    <w:rsid w:val="009A7694"/>
    <w:rsid w:val="009D259F"/>
    <w:rsid w:val="009D3781"/>
    <w:rsid w:val="00A02D5D"/>
    <w:rsid w:val="00A866F8"/>
    <w:rsid w:val="00AB57E2"/>
    <w:rsid w:val="00AF397B"/>
    <w:rsid w:val="00B0342B"/>
    <w:rsid w:val="00B07BB0"/>
    <w:rsid w:val="00B765CD"/>
    <w:rsid w:val="00BA706F"/>
    <w:rsid w:val="00BC7AD6"/>
    <w:rsid w:val="00BD4E00"/>
    <w:rsid w:val="00BF409A"/>
    <w:rsid w:val="00C1101A"/>
    <w:rsid w:val="00C26B11"/>
    <w:rsid w:val="00C955DF"/>
    <w:rsid w:val="00CC7FA9"/>
    <w:rsid w:val="00CD5DAB"/>
    <w:rsid w:val="00D23E17"/>
    <w:rsid w:val="00D53C97"/>
    <w:rsid w:val="00D71251"/>
    <w:rsid w:val="00DE2BC5"/>
    <w:rsid w:val="00E311EF"/>
    <w:rsid w:val="00E74E06"/>
    <w:rsid w:val="00EA0D67"/>
    <w:rsid w:val="00EB7DC9"/>
    <w:rsid w:val="00EC053C"/>
    <w:rsid w:val="00EE46E1"/>
    <w:rsid w:val="00F13D39"/>
    <w:rsid w:val="00F573FB"/>
    <w:rsid w:val="00F60C67"/>
    <w:rsid w:val="00F63DE5"/>
    <w:rsid w:val="00FA47AD"/>
    <w:rsid w:val="00FF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069BB3-C48B-4A01-973C-625E05FD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link w:val="10"/>
    <w:qFormat/>
    <w:pPr>
      <w:spacing w:before="100" w:beforeAutospacing="1" w:after="100" w:afterAutospacing="1" w:line="450" w:lineRule="atLeast"/>
      <w:outlineLvl w:val="0"/>
    </w:pPr>
    <w:rPr>
      <w:rFonts w:eastAsiaTheme="minorEastAsia"/>
      <w:kern w:val="36"/>
      <w:sz w:val="40"/>
      <w:szCs w:val="40"/>
    </w:rPr>
  </w:style>
  <w:style w:type="paragraph" w:styleId="2">
    <w:name w:val="heading 2"/>
    <w:basedOn w:val="a0"/>
    <w:link w:val="20"/>
    <w:qFormat/>
    <w:pPr>
      <w:spacing w:before="100" w:beforeAutospacing="1" w:after="100" w:afterAutospacing="1" w:line="450" w:lineRule="atLeast"/>
      <w:outlineLvl w:val="1"/>
    </w:pPr>
    <w:rPr>
      <w:rFonts w:eastAsiaTheme="minorEastAsia"/>
      <w:sz w:val="32"/>
      <w:szCs w:val="32"/>
    </w:rPr>
  </w:style>
  <w:style w:type="paragraph" w:styleId="3">
    <w:name w:val="heading 3"/>
    <w:basedOn w:val="a0"/>
    <w:link w:val="30"/>
    <w:qFormat/>
    <w:pPr>
      <w:spacing w:before="100" w:beforeAutospacing="1" w:after="100" w:afterAutospacing="1" w:line="330" w:lineRule="atLeast"/>
      <w:outlineLvl w:val="2"/>
    </w:pPr>
    <w:rPr>
      <w:rFonts w:eastAsiaTheme="minorEastAsia"/>
      <w:sz w:val="28"/>
      <w:szCs w:val="28"/>
    </w:rPr>
  </w:style>
  <w:style w:type="paragraph" w:styleId="4">
    <w:name w:val="heading 4"/>
    <w:basedOn w:val="a0"/>
    <w:link w:val="40"/>
    <w:qFormat/>
    <w:pPr>
      <w:spacing w:before="100" w:beforeAutospacing="1" w:after="100" w:afterAutospacing="1" w:line="270" w:lineRule="atLeast"/>
      <w:outlineLvl w:val="3"/>
    </w:pPr>
    <w:rPr>
      <w:rFonts w:eastAsiaTheme="minorEastAsia"/>
    </w:rPr>
  </w:style>
  <w:style w:type="paragraph" w:styleId="5">
    <w:name w:val="heading 5"/>
    <w:basedOn w:val="a0"/>
    <w:link w:val="50"/>
    <w:qFormat/>
    <w:pPr>
      <w:spacing w:before="100" w:beforeAutospacing="1" w:after="100" w:afterAutospacing="1"/>
      <w:outlineLvl w:val="4"/>
    </w:pPr>
    <w:rPr>
      <w:rFonts w:eastAsiaTheme="minorEastAsia"/>
      <w:sz w:val="20"/>
      <w:szCs w:val="20"/>
    </w:rPr>
  </w:style>
  <w:style w:type="paragraph" w:styleId="6">
    <w:name w:val="heading 6"/>
    <w:basedOn w:val="a0"/>
    <w:link w:val="60"/>
    <w:qFormat/>
    <w:pPr>
      <w:spacing w:before="100" w:beforeAutospacing="1" w:after="100" w:afterAutospacing="1"/>
      <w:outlineLvl w:val="5"/>
    </w:pPr>
    <w:rPr>
      <w:rFonts w:eastAsiaTheme="minorEastAsia"/>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Pr>
      <w:color w:val="0066CC"/>
      <w:u w:val="single"/>
    </w:rPr>
  </w:style>
  <w:style w:type="character" w:styleId="a5">
    <w:name w:val="FollowedHyperlink"/>
    <w:basedOn w:val="a1"/>
    <w:semiHidden/>
    <w:unhideWhenUsed/>
    <w:rPr>
      <w:color w:val="0066CC"/>
      <w:u w:val="single"/>
    </w:rPr>
  </w:style>
  <w:style w:type="character" w:customStyle="1" w:styleId="10">
    <w:name w:val="Заголовок 1 Знак"/>
    <w:basedOn w:val="a1"/>
    <w:link w:val="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1"/>
    <w:link w:val="5"/>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1"/>
    <w:link w:val="6"/>
    <w:semiHidden/>
    <w:rPr>
      <w:rFonts w:asciiTheme="majorHAnsi" w:eastAsiaTheme="majorEastAsia" w:hAnsiTheme="majorHAnsi" w:cstheme="majorBidi"/>
      <w:color w:val="1F4D78" w:themeColor="accent1" w:themeShade="7F"/>
      <w:sz w:val="24"/>
      <w:szCs w:val="24"/>
    </w:rPr>
  </w:style>
  <w:style w:type="paragraph" w:styleId="a6">
    <w:name w:val="Normal (Web)"/>
    <w:basedOn w:val="a0"/>
    <w:uiPriority w:val="99"/>
    <w:unhideWhenUsed/>
    <w:pPr>
      <w:spacing w:before="100" w:beforeAutospacing="1" w:after="100" w:afterAutospacing="1"/>
    </w:pPr>
    <w:rPr>
      <w:rFonts w:eastAsiaTheme="minorEastAsia"/>
    </w:rPr>
  </w:style>
  <w:style w:type="paragraph" w:styleId="a7">
    <w:name w:val="header"/>
    <w:basedOn w:val="a0"/>
    <w:link w:val="a8"/>
    <w:semiHidden/>
    <w:unhideWhenUsed/>
    <w:pPr>
      <w:tabs>
        <w:tab w:val="center" w:pos="4677"/>
        <w:tab w:val="right" w:pos="9355"/>
      </w:tabs>
    </w:pPr>
  </w:style>
  <w:style w:type="character" w:customStyle="1" w:styleId="a8">
    <w:name w:val="Верхний колонтитул Знак"/>
    <w:basedOn w:val="a1"/>
    <w:link w:val="a7"/>
    <w:semiHidden/>
    <w:rPr>
      <w:sz w:val="24"/>
      <w:szCs w:val="24"/>
    </w:rPr>
  </w:style>
  <w:style w:type="table" w:customStyle="1" w:styleId="438">
    <w:name w:val="Обычная табл=438ца"/>
    <w:semiHidden/>
    <w:tblPr>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paragraph" w:styleId="a9">
    <w:name w:val="Balloon Text"/>
    <w:basedOn w:val="a0"/>
    <w:link w:val="aa"/>
    <w:semiHidden/>
    <w:unhideWhenUsed/>
    <w:rsid w:val="00294BA9"/>
    <w:rPr>
      <w:rFonts w:ascii="Segoe UI" w:hAnsi="Segoe UI" w:cs="Segoe UI"/>
      <w:sz w:val="18"/>
      <w:szCs w:val="18"/>
    </w:rPr>
  </w:style>
  <w:style w:type="character" w:customStyle="1" w:styleId="aa">
    <w:name w:val="Текст выноски Знак"/>
    <w:basedOn w:val="a1"/>
    <w:link w:val="a9"/>
    <w:semiHidden/>
    <w:rsid w:val="00294BA9"/>
    <w:rPr>
      <w:rFonts w:ascii="Segoe UI" w:hAnsi="Segoe UI" w:cs="Segoe UI"/>
      <w:sz w:val="18"/>
      <w:szCs w:val="18"/>
    </w:rPr>
  </w:style>
  <w:style w:type="paragraph" w:styleId="a">
    <w:name w:val="List Number"/>
    <w:basedOn w:val="a0"/>
    <w:autoRedefine/>
    <w:rsid w:val="00BD4E00"/>
    <w:pPr>
      <w:numPr>
        <w:ilvl w:val="2"/>
        <w:numId w:val="16"/>
      </w:numPr>
      <w:tabs>
        <w:tab w:val="clear" w:pos="1440"/>
        <w:tab w:val="left" w:pos="873"/>
      </w:tabs>
      <w:spacing w:before="240" w:after="240"/>
      <w:ind w:left="0" w:firstLine="0"/>
      <w:jc w:val="both"/>
    </w:pPr>
    <w:rPr>
      <w:color w:val="000000"/>
      <w:sz w:val="28"/>
      <w:szCs w:val="28"/>
      <w:lang w:val="x-none" w:eastAsia="x-none"/>
    </w:rPr>
  </w:style>
  <w:style w:type="paragraph" w:customStyle="1" w:styleId="1212">
    <w:name w:val="Стиль Нумерованный список + По ширине Перед:  12 пт После:  12 пт"/>
    <w:basedOn w:val="a"/>
    <w:link w:val="12120"/>
    <w:rsid w:val="00BD4E00"/>
    <w:rPr>
      <w:szCs w:val="20"/>
    </w:rPr>
  </w:style>
  <w:style w:type="character" w:customStyle="1" w:styleId="12120">
    <w:name w:val="Стиль Нумерованный список + По ширине Перед:  12 пт После:  12 пт Знак"/>
    <w:basedOn w:val="a1"/>
    <w:link w:val="1212"/>
    <w:rsid w:val="00BD4E00"/>
    <w:rPr>
      <w:color w:val="000000"/>
      <w:sz w:val="28"/>
      <w:lang w:val="x-none" w:eastAsia="x-none"/>
    </w:rPr>
  </w:style>
  <w:style w:type="paragraph" w:styleId="ab">
    <w:name w:val="List Paragraph"/>
    <w:basedOn w:val="a0"/>
    <w:uiPriority w:val="34"/>
    <w:qFormat/>
    <w:rsid w:val="0037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acts/?sectId=252084" TargetMode="External"/><Relationship Id="rId13" Type="http://schemas.openxmlformats.org/officeDocument/2006/relationships/hyperlink" Target="http://www.audar-info.ru/docs/acts/?sectId=232199" TargetMode="External"/><Relationship Id="rId3" Type="http://schemas.openxmlformats.org/officeDocument/2006/relationships/styles" Target="styles.xml"/><Relationship Id="rId7" Type="http://schemas.openxmlformats.org/officeDocument/2006/relationships/hyperlink" Target="http://www.audar-info.ru/docs/laws/?sectId=277410" TargetMode="External"/><Relationship Id="rId12" Type="http://schemas.openxmlformats.org/officeDocument/2006/relationships/hyperlink" Target="http://www.audar-info.ru232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dar-info.ru/docs/acts/?sectId=64378" TargetMode="External"/><Relationship Id="rId11" Type="http://schemas.openxmlformats.org/officeDocument/2006/relationships/hyperlink" Target="http://www.audar-info.ru/docs/acts/?sectId=2520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ar-info.ru/docs/laws/?sectId=278153" TargetMode="External"/><Relationship Id="rId4" Type="http://schemas.openxmlformats.org/officeDocument/2006/relationships/settings" Target="settings.xml"/><Relationship Id="rId9" Type="http://schemas.openxmlformats.org/officeDocument/2006/relationships/hyperlink" Target="http://www.audar-info.ru/docs/politic/?sectId=1457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ED22-082B-4968-9D28-3E85BAEC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Pages>
  <Words>3092</Words>
  <Characters>21751</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Валерьевна Иванова</cp:lastModifiedBy>
  <cp:revision>58</cp:revision>
  <cp:lastPrinted>2019-07-19T01:34:00Z</cp:lastPrinted>
  <dcterms:created xsi:type="dcterms:W3CDTF">2015-06-17T01:57:00Z</dcterms:created>
  <dcterms:modified xsi:type="dcterms:W3CDTF">2019-12-24T02:09:00Z</dcterms:modified>
</cp:coreProperties>
</file>